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02D09" w14:textId="1C154F3D" w:rsidR="001003F7" w:rsidRDefault="001003F7" w:rsidP="00F47FB2">
      <w:pPr>
        <w:adjustRightInd w:val="0"/>
        <w:snapToGrid w:val="0"/>
        <w:spacing w:line="620" w:lineRule="exact"/>
        <w:jc w:val="center"/>
        <w:rPr>
          <w:rFonts w:ascii="仿宋" w:eastAsia="仿宋" w:hAnsi="仿宋"/>
          <w:b/>
          <w:bCs/>
          <w:sz w:val="32"/>
          <w:szCs w:val="32"/>
        </w:rPr>
      </w:pPr>
      <w:r w:rsidRPr="00047F27">
        <w:rPr>
          <w:rFonts w:ascii="仿宋" w:eastAsia="仿宋" w:hAnsi="仿宋" w:cs="黑体" w:hint="eastAsia"/>
          <w:b/>
          <w:sz w:val="44"/>
          <w:szCs w:val="44"/>
        </w:rPr>
        <w:t>《牙膏监督管理</w:t>
      </w:r>
      <w:r w:rsidR="004F7D97" w:rsidRPr="00047F27">
        <w:rPr>
          <w:rFonts w:ascii="仿宋" w:eastAsia="仿宋" w:hAnsi="仿宋" w:cs="黑体" w:hint="eastAsia"/>
          <w:b/>
          <w:sz w:val="44"/>
          <w:szCs w:val="44"/>
        </w:rPr>
        <w:t>办法</w:t>
      </w:r>
      <w:r w:rsidR="00047F27" w:rsidRPr="00047F27">
        <w:rPr>
          <w:rFonts w:ascii="仿宋" w:eastAsia="仿宋" w:hAnsi="仿宋" w:cs="黑体" w:hint="eastAsia"/>
          <w:b/>
          <w:sz w:val="44"/>
          <w:szCs w:val="44"/>
        </w:rPr>
        <w:t>(征求意见稿)</w:t>
      </w:r>
      <w:r w:rsidRPr="00047F27">
        <w:rPr>
          <w:rFonts w:ascii="仿宋" w:eastAsia="仿宋" w:hAnsi="仿宋" w:cs="黑体" w:hint="eastAsia"/>
          <w:b/>
          <w:sz w:val="44"/>
          <w:szCs w:val="44"/>
        </w:rPr>
        <w:t>》起草说明</w:t>
      </w:r>
    </w:p>
    <w:p w14:paraId="788D9978" w14:textId="77777777" w:rsidR="00F47FB2" w:rsidRPr="00F47FB2" w:rsidRDefault="00F47FB2" w:rsidP="00F47FB2">
      <w:pPr>
        <w:adjustRightInd w:val="0"/>
        <w:snapToGrid w:val="0"/>
        <w:spacing w:line="620" w:lineRule="exact"/>
        <w:jc w:val="center"/>
        <w:rPr>
          <w:rFonts w:ascii="仿宋" w:eastAsia="仿宋" w:hAnsi="仿宋"/>
          <w:b/>
          <w:bCs/>
          <w:sz w:val="32"/>
          <w:szCs w:val="32"/>
        </w:rPr>
      </w:pPr>
    </w:p>
    <w:p w14:paraId="32AC5B1B" w14:textId="04879494" w:rsidR="001003F7" w:rsidRPr="0091588D" w:rsidRDefault="001003F7"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hint="eastAsia"/>
          <w:sz w:val="32"/>
          <w:szCs w:val="32"/>
          <w:lang w:bidi="ar"/>
        </w:rPr>
        <w:t>为贯彻落实《化妆品监督管理条例》（以下简称《条例》）相关规定要求，加强牙膏监督管理，</w:t>
      </w:r>
      <w:r w:rsidR="00E26948" w:rsidRPr="0091588D">
        <w:rPr>
          <w:rFonts w:ascii="仿宋" w:eastAsia="仿宋" w:hAnsi="仿宋" w:hint="eastAsia"/>
          <w:sz w:val="32"/>
          <w:szCs w:val="32"/>
          <w:lang w:bidi="ar"/>
        </w:rPr>
        <w:t>国家药品监督管理局</w:t>
      </w:r>
      <w:r w:rsidRPr="0091588D">
        <w:rPr>
          <w:rFonts w:ascii="仿宋" w:eastAsia="仿宋" w:hAnsi="仿宋" w:hint="eastAsia"/>
          <w:sz w:val="32"/>
          <w:szCs w:val="32"/>
          <w:lang w:bidi="ar"/>
        </w:rPr>
        <w:t>化妆品</w:t>
      </w:r>
      <w:r w:rsidR="00E26948" w:rsidRPr="0091588D">
        <w:rPr>
          <w:rFonts w:ascii="仿宋" w:eastAsia="仿宋" w:hAnsi="仿宋" w:hint="eastAsia"/>
          <w:sz w:val="32"/>
          <w:szCs w:val="32"/>
          <w:lang w:bidi="ar"/>
        </w:rPr>
        <w:t>监督管理</w:t>
      </w:r>
      <w:r w:rsidRPr="0091588D">
        <w:rPr>
          <w:rFonts w:ascii="仿宋" w:eastAsia="仿宋" w:hAnsi="仿宋" w:hint="eastAsia"/>
          <w:sz w:val="32"/>
          <w:szCs w:val="32"/>
          <w:lang w:bidi="ar"/>
        </w:rPr>
        <w:t>司研究起草了《牙膏监督管理</w:t>
      </w:r>
      <w:r w:rsidR="004F7D97" w:rsidRPr="0091588D">
        <w:rPr>
          <w:rFonts w:ascii="仿宋" w:eastAsia="仿宋" w:hAnsi="仿宋" w:hint="eastAsia"/>
          <w:sz w:val="32"/>
          <w:szCs w:val="32"/>
          <w:lang w:bidi="ar"/>
        </w:rPr>
        <w:t>办法</w:t>
      </w:r>
      <w:r w:rsidR="0086606B">
        <w:rPr>
          <w:rFonts w:ascii="仿宋" w:eastAsia="仿宋" w:hAnsi="仿宋" w:hint="eastAsia"/>
          <w:sz w:val="32"/>
          <w:szCs w:val="32"/>
          <w:lang w:bidi="ar"/>
        </w:rPr>
        <w:t>(征求意见稿)</w:t>
      </w:r>
      <w:r w:rsidRPr="0091588D">
        <w:rPr>
          <w:rFonts w:ascii="仿宋" w:eastAsia="仿宋" w:hAnsi="仿宋" w:hint="eastAsia"/>
          <w:sz w:val="32"/>
          <w:szCs w:val="32"/>
          <w:lang w:bidi="ar"/>
        </w:rPr>
        <w:t>》</w:t>
      </w:r>
      <w:r w:rsidR="0086606B" w:rsidRPr="0091588D">
        <w:rPr>
          <w:rFonts w:ascii="仿宋" w:eastAsia="仿宋" w:hAnsi="仿宋" w:hint="eastAsia"/>
          <w:sz w:val="32"/>
          <w:szCs w:val="32"/>
          <w:lang w:bidi="ar"/>
        </w:rPr>
        <w:t>（以下简称</w:t>
      </w:r>
      <w:r w:rsidR="0086606B" w:rsidRPr="0091588D">
        <w:rPr>
          <w:rFonts w:ascii="仿宋" w:eastAsia="仿宋" w:hAnsi="仿宋"/>
          <w:sz w:val="32"/>
          <w:szCs w:val="32"/>
          <w:lang w:bidi="ar"/>
        </w:rPr>
        <w:t>《</w:t>
      </w:r>
      <w:r w:rsidR="0086606B" w:rsidRPr="0091588D">
        <w:rPr>
          <w:rFonts w:ascii="仿宋" w:eastAsia="仿宋" w:hAnsi="仿宋" w:hint="eastAsia"/>
          <w:sz w:val="32"/>
          <w:szCs w:val="32"/>
          <w:lang w:bidi="ar"/>
        </w:rPr>
        <w:t>办法</w:t>
      </w:r>
      <w:r w:rsidR="0086606B" w:rsidRPr="0091588D">
        <w:rPr>
          <w:rFonts w:ascii="仿宋" w:eastAsia="仿宋" w:hAnsi="仿宋"/>
          <w:sz w:val="32"/>
          <w:szCs w:val="32"/>
          <w:lang w:bidi="ar"/>
        </w:rPr>
        <w:t>》</w:t>
      </w:r>
      <w:r w:rsidR="0086606B" w:rsidRPr="0091588D">
        <w:rPr>
          <w:rFonts w:ascii="仿宋" w:eastAsia="仿宋" w:hAnsi="仿宋" w:hint="eastAsia"/>
          <w:sz w:val="32"/>
          <w:szCs w:val="32"/>
          <w:lang w:bidi="ar"/>
        </w:rPr>
        <w:t>）</w:t>
      </w:r>
      <w:r w:rsidRPr="0091588D">
        <w:rPr>
          <w:rFonts w:ascii="仿宋" w:eastAsia="仿宋" w:hAnsi="仿宋" w:hint="eastAsia"/>
          <w:sz w:val="32"/>
          <w:szCs w:val="32"/>
          <w:lang w:bidi="ar"/>
        </w:rPr>
        <w:t>，拟以市场</w:t>
      </w:r>
      <w:r w:rsidR="00E26948" w:rsidRPr="0091588D">
        <w:rPr>
          <w:rFonts w:ascii="仿宋" w:eastAsia="仿宋" w:hAnsi="仿宋" w:hint="eastAsia"/>
          <w:sz w:val="32"/>
          <w:szCs w:val="32"/>
          <w:lang w:bidi="ar"/>
        </w:rPr>
        <w:t>监督管理</w:t>
      </w:r>
      <w:r w:rsidRPr="0091588D">
        <w:rPr>
          <w:rFonts w:ascii="仿宋" w:eastAsia="仿宋" w:hAnsi="仿宋" w:hint="eastAsia"/>
          <w:sz w:val="32"/>
          <w:szCs w:val="32"/>
          <w:lang w:bidi="ar"/>
        </w:rPr>
        <w:t>总局部门规章对外发布，与《条例》同步实施。现将起草有关工作说明如下：</w:t>
      </w:r>
    </w:p>
    <w:p w14:paraId="192FF46D" w14:textId="77777777" w:rsidR="001003F7" w:rsidRPr="00047F27" w:rsidRDefault="001003F7" w:rsidP="00C779BE">
      <w:pPr>
        <w:pStyle w:val="a6"/>
        <w:widowControl/>
        <w:spacing w:before="0" w:beforeAutospacing="0" w:after="0" w:afterAutospacing="0"/>
        <w:ind w:firstLineChars="200" w:firstLine="643"/>
        <w:jc w:val="both"/>
        <w:rPr>
          <w:rFonts w:ascii="仿宋" w:eastAsia="仿宋" w:hAnsi="仿宋"/>
          <w:b/>
          <w:sz w:val="32"/>
          <w:szCs w:val="32"/>
          <w:lang w:bidi="ar"/>
        </w:rPr>
      </w:pPr>
      <w:r w:rsidRPr="00047F27">
        <w:rPr>
          <w:rFonts w:ascii="仿宋" w:eastAsia="仿宋" w:hAnsi="仿宋" w:hint="eastAsia"/>
          <w:b/>
          <w:sz w:val="32"/>
          <w:szCs w:val="32"/>
          <w:lang w:bidi="ar"/>
        </w:rPr>
        <w:t>一、起草背景与过程</w:t>
      </w:r>
    </w:p>
    <w:p w14:paraId="5FC0B65D" w14:textId="6A4AA732" w:rsidR="001003F7" w:rsidRPr="0091588D" w:rsidRDefault="001003F7"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hint="eastAsia"/>
          <w:sz w:val="32"/>
          <w:szCs w:val="32"/>
          <w:lang w:bidi="ar"/>
        </w:rPr>
        <w:t>《化妆品卫生监督条例》关于化妆品定义中，施用部位未包含牙齿及口腔黏膜，因此牙膏产品未纳入化妆品进行管理。2005年《中华人民共和国工业产品生产许可证管理条例》发布后，原质检总局对牙膏生产企业实施生产许可管理，颁发化妆品生产许可证；</w:t>
      </w:r>
      <w:r w:rsidRPr="0091588D">
        <w:rPr>
          <w:rFonts w:ascii="仿宋" w:eastAsia="仿宋" w:hAnsi="仿宋"/>
          <w:sz w:val="32"/>
          <w:szCs w:val="32"/>
          <w:lang w:bidi="ar"/>
        </w:rPr>
        <w:t>2007</w:t>
      </w:r>
      <w:r w:rsidRPr="0091588D">
        <w:rPr>
          <w:rFonts w:ascii="仿宋" w:eastAsia="仿宋" w:hAnsi="仿宋" w:hint="eastAsia"/>
          <w:sz w:val="32"/>
          <w:szCs w:val="32"/>
          <w:lang w:bidi="ar"/>
        </w:rPr>
        <w:t>年，原质检总局发布的《化妆品标识管理规定》也将用于牙齿的产品纳入化妆品。2013年上一轮机构改革后，</w:t>
      </w:r>
      <w:proofErr w:type="gramStart"/>
      <w:r w:rsidRPr="0091588D">
        <w:rPr>
          <w:rFonts w:ascii="仿宋" w:eastAsia="仿宋" w:hAnsi="仿宋" w:hint="eastAsia"/>
          <w:sz w:val="32"/>
          <w:szCs w:val="32"/>
          <w:lang w:bidi="ar"/>
        </w:rPr>
        <w:t>原食品</w:t>
      </w:r>
      <w:proofErr w:type="gramEnd"/>
      <w:r w:rsidRPr="0091588D">
        <w:rPr>
          <w:rFonts w:ascii="仿宋" w:eastAsia="仿宋" w:hAnsi="仿宋" w:hint="eastAsia"/>
          <w:sz w:val="32"/>
          <w:szCs w:val="32"/>
          <w:lang w:bidi="ar"/>
        </w:rPr>
        <w:t>药品监督管理总局统一承担了化妆品监管职能，对牙膏生产企业颁发化妆品生产许可证，但并未将牙膏产品纳入化妆品管理，这一做法一直</w:t>
      </w:r>
      <w:r w:rsidR="002A2664" w:rsidRPr="0091588D">
        <w:rPr>
          <w:rFonts w:ascii="仿宋" w:eastAsia="仿宋" w:hAnsi="仿宋" w:hint="eastAsia"/>
          <w:sz w:val="32"/>
          <w:szCs w:val="32"/>
          <w:lang w:bidi="ar"/>
        </w:rPr>
        <w:t>延</w:t>
      </w:r>
      <w:r w:rsidRPr="0091588D">
        <w:rPr>
          <w:rFonts w:ascii="仿宋" w:eastAsia="仿宋" w:hAnsi="仿宋" w:hint="eastAsia"/>
          <w:sz w:val="32"/>
          <w:szCs w:val="32"/>
          <w:lang w:bidi="ar"/>
        </w:rPr>
        <w:t>续至今。</w:t>
      </w:r>
    </w:p>
    <w:p w14:paraId="7F20F389" w14:textId="77777777" w:rsidR="001003F7" w:rsidRPr="0091588D" w:rsidRDefault="001003F7"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sz w:val="32"/>
          <w:szCs w:val="32"/>
          <w:lang w:bidi="ar"/>
        </w:rPr>
        <w:t>2020</w:t>
      </w:r>
      <w:r w:rsidRPr="0091588D">
        <w:rPr>
          <w:rFonts w:ascii="仿宋" w:eastAsia="仿宋" w:hAnsi="仿宋" w:hint="eastAsia"/>
          <w:sz w:val="32"/>
          <w:szCs w:val="32"/>
          <w:lang w:bidi="ar"/>
        </w:rPr>
        <w:t>年</w:t>
      </w:r>
      <w:r w:rsidRPr="0091588D">
        <w:rPr>
          <w:rFonts w:ascii="仿宋" w:eastAsia="仿宋" w:hAnsi="仿宋"/>
          <w:sz w:val="32"/>
          <w:szCs w:val="32"/>
          <w:lang w:bidi="ar"/>
        </w:rPr>
        <w:t>6</w:t>
      </w:r>
      <w:r w:rsidRPr="0091588D">
        <w:rPr>
          <w:rFonts w:ascii="仿宋" w:eastAsia="仿宋" w:hAnsi="仿宋" w:hint="eastAsia"/>
          <w:sz w:val="32"/>
          <w:szCs w:val="32"/>
          <w:lang w:bidi="ar"/>
        </w:rPr>
        <w:t>月《条例》正式发布，并在附则中规定：牙膏参照本条例有关普通化妆品的规定进行管理，确定牙膏上市前及上市后的监管职能均调整至国家药品监督管理局。因此，为了贯彻落实《条例》关于牙膏监管的有相关规定，需统筹考虑牙膏与化</w:t>
      </w:r>
      <w:r w:rsidRPr="0091588D">
        <w:rPr>
          <w:rFonts w:ascii="仿宋" w:eastAsia="仿宋" w:hAnsi="仿宋" w:hint="eastAsia"/>
          <w:sz w:val="32"/>
          <w:szCs w:val="32"/>
          <w:lang w:bidi="ar"/>
        </w:rPr>
        <w:lastRenderedPageBreak/>
        <w:t>妆品监管的共性及特殊之处，同时结合牙膏行业发展和监管实际，制定一部牙膏监管法规，旨在规范牙膏的生产经营、备案以及上市后的监督管理工作。</w:t>
      </w:r>
    </w:p>
    <w:p w14:paraId="2E2BC23C" w14:textId="37660DBD" w:rsidR="001003F7" w:rsidRPr="0091588D" w:rsidRDefault="00380FCF"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hint="eastAsia"/>
          <w:sz w:val="32"/>
          <w:szCs w:val="32"/>
          <w:lang w:bidi="ar"/>
        </w:rPr>
        <w:t>国家药品监督管理局化妆品监督管理司</w:t>
      </w:r>
      <w:r w:rsidR="001003F7" w:rsidRPr="0091588D">
        <w:rPr>
          <w:rFonts w:ascii="仿宋" w:eastAsia="仿宋" w:hAnsi="仿宋" w:hint="eastAsia"/>
          <w:sz w:val="32"/>
          <w:szCs w:val="32"/>
          <w:lang w:bidi="ar"/>
        </w:rPr>
        <w:t>自</w:t>
      </w:r>
      <w:r w:rsidR="001003F7" w:rsidRPr="0091588D">
        <w:rPr>
          <w:rFonts w:ascii="仿宋" w:eastAsia="仿宋" w:hAnsi="仿宋"/>
          <w:sz w:val="32"/>
          <w:szCs w:val="32"/>
          <w:lang w:bidi="ar"/>
        </w:rPr>
        <w:t>2018</w:t>
      </w:r>
      <w:r w:rsidR="001003F7" w:rsidRPr="0091588D">
        <w:rPr>
          <w:rFonts w:ascii="仿宋" w:eastAsia="仿宋" w:hAnsi="仿宋" w:hint="eastAsia"/>
          <w:sz w:val="32"/>
          <w:szCs w:val="32"/>
          <w:lang w:bidi="ar"/>
        </w:rPr>
        <w:t>年</w:t>
      </w:r>
      <w:r w:rsidR="001003F7" w:rsidRPr="0091588D">
        <w:rPr>
          <w:rFonts w:ascii="仿宋" w:eastAsia="仿宋" w:hAnsi="仿宋"/>
          <w:sz w:val="32"/>
          <w:szCs w:val="32"/>
          <w:lang w:bidi="ar"/>
        </w:rPr>
        <w:t>10</w:t>
      </w:r>
      <w:r w:rsidR="001003F7" w:rsidRPr="0091588D">
        <w:rPr>
          <w:rFonts w:ascii="仿宋" w:eastAsia="仿宋" w:hAnsi="仿宋" w:hint="eastAsia"/>
          <w:sz w:val="32"/>
          <w:szCs w:val="32"/>
          <w:lang w:bidi="ar"/>
        </w:rPr>
        <w:t>月成立以来，在前期课题研究和调研的基础上，结合《条列》中相关规定，对比国内外主要国家及地区牙膏监督管理模式，反复召开研讨会议，研究起草了</w:t>
      </w:r>
      <w:r w:rsidR="0078079F" w:rsidRPr="0091588D">
        <w:rPr>
          <w:rFonts w:ascii="仿宋" w:eastAsia="仿宋" w:hAnsi="仿宋" w:hint="eastAsia"/>
          <w:sz w:val="32"/>
          <w:szCs w:val="32"/>
          <w:lang w:bidi="ar"/>
        </w:rPr>
        <w:t>《办法》</w:t>
      </w:r>
      <w:r w:rsidR="001003F7" w:rsidRPr="0091588D">
        <w:rPr>
          <w:rFonts w:ascii="仿宋" w:eastAsia="仿宋" w:hAnsi="仿宋" w:hint="eastAsia"/>
          <w:sz w:val="32"/>
          <w:szCs w:val="32"/>
          <w:lang w:bidi="ar"/>
        </w:rPr>
        <w:t>初稿，</w:t>
      </w:r>
      <w:proofErr w:type="gramStart"/>
      <w:r w:rsidR="001003F7" w:rsidRPr="0091588D">
        <w:rPr>
          <w:rFonts w:ascii="仿宋" w:eastAsia="仿宋" w:hAnsi="仿宋" w:hint="eastAsia"/>
          <w:sz w:val="32"/>
          <w:szCs w:val="32"/>
          <w:lang w:bidi="ar"/>
        </w:rPr>
        <w:t>经过数余次</w:t>
      </w:r>
      <w:proofErr w:type="gramEnd"/>
      <w:r w:rsidR="001003F7" w:rsidRPr="0091588D">
        <w:rPr>
          <w:rFonts w:ascii="仿宋" w:eastAsia="仿宋" w:hAnsi="仿宋" w:hint="eastAsia"/>
          <w:sz w:val="32"/>
          <w:szCs w:val="32"/>
          <w:lang w:bidi="ar"/>
        </w:rPr>
        <w:t>企业调研及长三角、珠三角座谈会，广泛征求各层监管人员、行业协会、企业及业内专家的意见，</w:t>
      </w:r>
      <w:r w:rsidR="00047F27">
        <w:rPr>
          <w:rFonts w:ascii="仿宋" w:eastAsia="仿宋" w:hAnsi="仿宋" w:hint="eastAsia"/>
          <w:sz w:val="32"/>
          <w:szCs w:val="32"/>
          <w:lang w:bidi="ar"/>
        </w:rPr>
        <w:t>进行多次</w:t>
      </w:r>
      <w:r w:rsidR="001003F7" w:rsidRPr="0091588D">
        <w:rPr>
          <w:rFonts w:ascii="仿宋" w:eastAsia="仿宋" w:hAnsi="仿宋" w:hint="eastAsia"/>
          <w:sz w:val="32"/>
          <w:szCs w:val="32"/>
          <w:lang w:bidi="ar"/>
        </w:rPr>
        <w:t>修改和完善，形成了目前的</w:t>
      </w:r>
      <w:r w:rsidR="0078079F" w:rsidRPr="0091588D">
        <w:rPr>
          <w:rFonts w:ascii="仿宋" w:eastAsia="仿宋" w:hAnsi="仿宋"/>
          <w:sz w:val="32"/>
          <w:szCs w:val="32"/>
          <w:lang w:bidi="ar"/>
        </w:rPr>
        <w:t>《</w:t>
      </w:r>
      <w:r w:rsidR="0078079F" w:rsidRPr="0091588D">
        <w:rPr>
          <w:rFonts w:ascii="仿宋" w:eastAsia="仿宋" w:hAnsi="仿宋" w:hint="eastAsia"/>
          <w:sz w:val="32"/>
          <w:szCs w:val="32"/>
          <w:lang w:bidi="ar"/>
        </w:rPr>
        <w:t>办法</w:t>
      </w:r>
      <w:r w:rsidR="0078079F" w:rsidRPr="0091588D">
        <w:rPr>
          <w:rFonts w:ascii="仿宋" w:eastAsia="仿宋" w:hAnsi="仿宋"/>
          <w:sz w:val="32"/>
          <w:szCs w:val="32"/>
          <w:lang w:bidi="ar"/>
        </w:rPr>
        <w:t>》</w:t>
      </w:r>
      <w:r w:rsidR="001003F7" w:rsidRPr="0091588D">
        <w:rPr>
          <w:rFonts w:ascii="仿宋" w:eastAsia="仿宋" w:hAnsi="仿宋" w:hint="eastAsia"/>
          <w:sz w:val="32"/>
          <w:szCs w:val="32"/>
          <w:lang w:bidi="ar"/>
        </w:rPr>
        <w:t>（征求意见稿）。</w:t>
      </w:r>
    </w:p>
    <w:p w14:paraId="5FC74E30" w14:textId="77777777" w:rsidR="001003F7" w:rsidRPr="00047F27" w:rsidRDefault="001003F7" w:rsidP="00C779BE">
      <w:pPr>
        <w:pStyle w:val="a6"/>
        <w:widowControl/>
        <w:spacing w:before="0" w:beforeAutospacing="0" w:after="0" w:afterAutospacing="0"/>
        <w:ind w:firstLineChars="200" w:firstLine="643"/>
        <w:jc w:val="both"/>
        <w:rPr>
          <w:rFonts w:ascii="仿宋" w:eastAsia="仿宋" w:hAnsi="仿宋"/>
          <w:b/>
          <w:sz w:val="32"/>
          <w:szCs w:val="32"/>
          <w:lang w:bidi="ar"/>
        </w:rPr>
      </w:pPr>
      <w:r w:rsidRPr="00047F27">
        <w:rPr>
          <w:rFonts w:ascii="仿宋" w:eastAsia="仿宋" w:hAnsi="仿宋" w:hint="eastAsia"/>
          <w:b/>
          <w:sz w:val="32"/>
          <w:szCs w:val="32"/>
          <w:lang w:bidi="ar"/>
        </w:rPr>
        <w:t>二、起草的原则及主要思路</w:t>
      </w:r>
    </w:p>
    <w:p w14:paraId="7C0F71D5" w14:textId="08A0D3DA" w:rsidR="001003F7" w:rsidRPr="0091588D" w:rsidRDefault="0078079F"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sz w:val="32"/>
          <w:szCs w:val="32"/>
          <w:lang w:bidi="ar"/>
        </w:rPr>
        <w:t>《</w:t>
      </w:r>
      <w:r w:rsidRPr="0091588D">
        <w:rPr>
          <w:rFonts w:ascii="仿宋" w:eastAsia="仿宋" w:hAnsi="仿宋" w:hint="eastAsia"/>
          <w:sz w:val="32"/>
          <w:szCs w:val="32"/>
          <w:lang w:bidi="ar"/>
        </w:rPr>
        <w:t>办法</w:t>
      </w:r>
      <w:r w:rsidRPr="0091588D">
        <w:rPr>
          <w:rFonts w:ascii="仿宋" w:eastAsia="仿宋" w:hAnsi="仿宋"/>
          <w:sz w:val="32"/>
          <w:szCs w:val="32"/>
          <w:lang w:bidi="ar"/>
        </w:rPr>
        <w:t>》</w:t>
      </w:r>
      <w:r w:rsidR="001003F7" w:rsidRPr="0091588D">
        <w:rPr>
          <w:rFonts w:ascii="仿宋" w:eastAsia="仿宋" w:hAnsi="仿宋" w:hint="eastAsia"/>
          <w:sz w:val="32"/>
          <w:szCs w:val="32"/>
          <w:lang w:bidi="ar"/>
        </w:rPr>
        <w:t>在总体思路上主要把握以下几点：</w:t>
      </w:r>
    </w:p>
    <w:p w14:paraId="778EF5E1" w14:textId="26771F97" w:rsidR="001003F7" w:rsidRPr="0091588D" w:rsidRDefault="001003F7"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hint="eastAsia"/>
          <w:sz w:val="32"/>
          <w:szCs w:val="32"/>
          <w:lang w:bidi="ar"/>
        </w:rPr>
        <w:t>一是坚持以人民健康为中心的原则，严格落实“四个最严”的要求。作为与人民群众身体健康密切相关的产品，</w:t>
      </w:r>
      <w:r w:rsidR="0078079F" w:rsidRPr="0091588D">
        <w:rPr>
          <w:rFonts w:ascii="仿宋" w:eastAsia="仿宋" w:hAnsi="仿宋"/>
          <w:sz w:val="32"/>
          <w:szCs w:val="32"/>
          <w:lang w:bidi="ar"/>
        </w:rPr>
        <w:t>《</w:t>
      </w:r>
      <w:r w:rsidR="0078079F" w:rsidRPr="0091588D">
        <w:rPr>
          <w:rFonts w:ascii="仿宋" w:eastAsia="仿宋" w:hAnsi="仿宋" w:hint="eastAsia"/>
          <w:sz w:val="32"/>
          <w:szCs w:val="32"/>
          <w:lang w:bidi="ar"/>
        </w:rPr>
        <w:t>办法</w:t>
      </w:r>
      <w:r w:rsidR="0078079F" w:rsidRPr="0091588D">
        <w:rPr>
          <w:rFonts w:ascii="仿宋" w:eastAsia="仿宋" w:hAnsi="仿宋"/>
          <w:sz w:val="32"/>
          <w:szCs w:val="32"/>
          <w:lang w:bidi="ar"/>
        </w:rPr>
        <w:t>》</w:t>
      </w:r>
      <w:r w:rsidRPr="0091588D">
        <w:rPr>
          <w:rFonts w:ascii="仿宋" w:eastAsia="仿宋" w:hAnsi="仿宋" w:hint="eastAsia"/>
          <w:sz w:val="32"/>
          <w:szCs w:val="32"/>
          <w:lang w:bidi="ar"/>
        </w:rPr>
        <w:t>参照化妆品管理要求，从牙膏的原料、产品备案、功效评价等方面设定了一系列严格的监管制度及严厉的处罚措施，以切实维护消费者健康权益。</w:t>
      </w:r>
    </w:p>
    <w:p w14:paraId="427BC288" w14:textId="2FA29951" w:rsidR="001003F7" w:rsidRPr="0091588D" w:rsidRDefault="001003F7"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hint="eastAsia"/>
          <w:sz w:val="32"/>
          <w:szCs w:val="32"/>
          <w:lang w:bidi="ar"/>
        </w:rPr>
        <w:t>二是突出重点的原则。从产品特性及国际监管经验来看，牙膏与化妆品在管理上共性较多，为落实《条例》的要求制定单行的牙膏管理规章，但同时又避免无意义重复，因此未制定全面的</w:t>
      </w:r>
      <w:r w:rsidRPr="0091588D">
        <w:rPr>
          <w:rFonts w:ascii="仿宋" w:eastAsia="仿宋" w:hAnsi="仿宋" w:hint="eastAsia"/>
          <w:sz w:val="32"/>
          <w:szCs w:val="32"/>
          <w:lang w:bidi="ar"/>
        </w:rPr>
        <w:lastRenderedPageBreak/>
        <w:t>监督管理办法，而选择就牙膏与化妆品管理存在差异的部分进行明确，其余未明确的事项按照普通化妆品相关规定执行。</w:t>
      </w:r>
    </w:p>
    <w:p w14:paraId="20E2B6BF" w14:textId="7C0AE6F6" w:rsidR="001003F7" w:rsidRPr="0091588D" w:rsidRDefault="001003F7"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hint="eastAsia"/>
          <w:sz w:val="32"/>
          <w:szCs w:val="32"/>
          <w:lang w:bidi="ar"/>
        </w:rPr>
        <w:t>三是突出问题导向的原则。较化妆品而言，牙膏配方和生产工艺相对简单，总体安全风险不高。当前市场上存在的主要问题是功效宣称混乱，宣称“消炎镇痛、止血”的功效牙膏比比皆是，部分宣称与药品、医疗器械的界限模糊。</w:t>
      </w:r>
      <w:r w:rsidR="0078079F" w:rsidRPr="0091588D">
        <w:rPr>
          <w:rFonts w:ascii="仿宋" w:eastAsia="仿宋" w:hAnsi="仿宋"/>
          <w:sz w:val="32"/>
          <w:szCs w:val="32"/>
          <w:lang w:bidi="ar"/>
        </w:rPr>
        <w:t>《</w:t>
      </w:r>
      <w:r w:rsidR="0078079F" w:rsidRPr="0091588D">
        <w:rPr>
          <w:rFonts w:ascii="仿宋" w:eastAsia="仿宋" w:hAnsi="仿宋" w:hint="eastAsia"/>
          <w:sz w:val="32"/>
          <w:szCs w:val="32"/>
          <w:lang w:bidi="ar"/>
        </w:rPr>
        <w:t>办法</w:t>
      </w:r>
      <w:r w:rsidR="0078079F" w:rsidRPr="0091588D">
        <w:rPr>
          <w:rFonts w:ascii="仿宋" w:eastAsia="仿宋" w:hAnsi="仿宋"/>
          <w:sz w:val="32"/>
          <w:szCs w:val="32"/>
          <w:lang w:bidi="ar"/>
        </w:rPr>
        <w:t>》</w:t>
      </w:r>
      <w:r w:rsidRPr="0091588D">
        <w:rPr>
          <w:rFonts w:ascii="仿宋" w:eastAsia="仿宋" w:hAnsi="仿宋" w:hint="eastAsia"/>
          <w:sz w:val="32"/>
          <w:szCs w:val="32"/>
          <w:lang w:bidi="ar"/>
        </w:rPr>
        <w:t>借鉴日本等国家的管理经验，拟通过</w:t>
      </w:r>
      <w:r w:rsidR="00380FCF" w:rsidRPr="0091588D">
        <w:rPr>
          <w:rFonts w:ascii="仿宋" w:eastAsia="仿宋" w:hAnsi="仿宋" w:hint="eastAsia"/>
          <w:sz w:val="32"/>
          <w:szCs w:val="32"/>
          <w:lang w:bidi="ar"/>
        </w:rPr>
        <w:t>功效</w:t>
      </w:r>
      <w:r w:rsidRPr="0091588D">
        <w:rPr>
          <w:rFonts w:ascii="仿宋" w:eastAsia="仿宋" w:hAnsi="仿宋" w:hint="eastAsia"/>
          <w:sz w:val="32"/>
          <w:szCs w:val="32"/>
          <w:lang w:bidi="ar"/>
        </w:rPr>
        <w:t>分类目录的模式对牙膏的功效宣称用语实施正面清单管理，以遏制牙膏违法宣称情况的发生。</w:t>
      </w:r>
    </w:p>
    <w:p w14:paraId="348980F9" w14:textId="654503E7" w:rsidR="001003F7" w:rsidRPr="0091588D" w:rsidRDefault="001003F7"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hint="eastAsia"/>
          <w:sz w:val="32"/>
          <w:szCs w:val="32"/>
          <w:lang w:bidi="ar"/>
        </w:rPr>
        <w:t>四是尊重牙膏本身监管规律的原则。全面落实“放管服”的要求。牙膏与化妆品虽然有较多的共性，但也有其特殊之处，如牙膏新原料仅涉及经口途径，不涉及经皮吸收及皮肤光毒性。鉴于已有国家标准的食品添加剂或食品原料有食用历史且风险程度较低，因此此类原料首次用于牙膏产品备案时降低了其准入门槛，不作为牙膏新原料管理，仅需提供该原料在牙膏产品中使用的安全性评估报告。</w:t>
      </w:r>
    </w:p>
    <w:p w14:paraId="1A25A428" w14:textId="251F5C91" w:rsidR="001003F7" w:rsidRPr="0091588D" w:rsidRDefault="001003F7"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hint="eastAsia"/>
          <w:sz w:val="32"/>
          <w:szCs w:val="32"/>
          <w:lang w:bidi="ar"/>
        </w:rPr>
        <w:t>五</w:t>
      </w:r>
      <w:r w:rsidR="0086606B">
        <w:rPr>
          <w:rFonts w:ascii="仿宋" w:eastAsia="仿宋" w:hAnsi="仿宋" w:hint="eastAsia"/>
          <w:sz w:val="32"/>
          <w:szCs w:val="32"/>
          <w:lang w:bidi="ar"/>
        </w:rPr>
        <w:t>是</w:t>
      </w:r>
      <w:r w:rsidRPr="0091588D">
        <w:rPr>
          <w:rFonts w:ascii="仿宋" w:eastAsia="仿宋" w:hAnsi="仿宋" w:hint="eastAsia"/>
          <w:sz w:val="32"/>
          <w:szCs w:val="32"/>
          <w:lang w:bidi="ar"/>
        </w:rPr>
        <w:t>坚持稳中求进的工作原则。考虑到目前仅对牙膏生产实行许可管理，未对牙膏实行备案管理，拟根据需要调整的难易程度设置合理的过渡期、</w:t>
      </w:r>
      <w:r w:rsidR="002A2664" w:rsidRPr="0091588D">
        <w:rPr>
          <w:rFonts w:ascii="仿宋" w:eastAsia="仿宋" w:hAnsi="仿宋" w:hint="eastAsia"/>
          <w:sz w:val="32"/>
          <w:szCs w:val="32"/>
          <w:lang w:bidi="ar"/>
        </w:rPr>
        <w:t>沿</w:t>
      </w:r>
      <w:r w:rsidRPr="0091588D">
        <w:rPr>
          <w:rFonts w:ascii="仿宋" w:eastAsia="仿宋" w:hAnsi="仿宋" w:hint="eastAsia"/>
          <w:sz w:val="32"/>
          <w:szCs w:val="32"/>
          <w:lang w:bidi="ar"/>
        </w:rPr>
        <w:t>用现有标准等方式，以减少对行业的影响和冲击。</w:t>
      </w:r>
    </w:p>
    <w:p w14:paraId="311741E3" w14:textId="77777777" w:rsidR="001003F7" w:rsidRPr="00047F27" w:rsidRDefault="001003F7" w:rsidP="00C779BE">
      <w:pPr>
        <w:pStyle w:val="a6"/>
        <w:widowControl/>
        <w:spacing w:before="0" w:beforeAutospacing="0" w:after="0" w:afterAutospacing="0"/>
        <w:ind w:firstLineChars="200" w:firstLine="643"/>
        <w:jc w:val="both"/>
        <w:rPr>
          <w:rFonts w:ascii="仿宋" w:eastAsia="仿宋" w:hAnsi="仿宋"/>
          <w:b/>
          <w:sz w:val="32"/>
          <w:szCs w:val="32"/>
          <w:lang w:bidi="ar"/>
        </w:rPr>
      </w:pPr>
      <w:r w:rsidRPr="00047F27">
        <w:rPr>
          <w:rFonts w:ascii="仿宋" w:eastAsia="仿宋" w:hAnsi="仿宋" w:hint="eastAsia"/>
          <w:b/>
          <w:sz w:val="32"/>
          <w:szCs w:val="32"/>
          <w:lang w:bidi="ar"/>
        </w:rPr>
        <w:t>三、主要内容</w:t>
      </w:r>
    </w:p>
    <w:p w14:paraId="4B8C7997" w14:textId="11116544" w:rsidR="007464C3" w:rsidRPr="00F47FB2" w:rsidRDefault="0078079F" w:rsidP="00C779BE">
      <w:pPr>
        <w:pStyle w:val="a6"/>
        <w:widowControl/>
        <w:spacing w:before="0" w:beforeAutospacing="0" w:after="0" w:afterAutospacing="0"/>
        <w:ind w:firstLineChars="200" w:firstLine="640"/>
        <w:jc w:val="both"/>
        <w:rPr>
          <w:rFonts w:ascii="仿宋" w:eastAsia="仿宋" w:hAnsi="仿宋"/>
          <w:sz w:val="32"/>
          <w:szCs w:val="32"/>
          <w:lang w:bidi="ar"/>
        </w:rPr>
      </w:pPr>
      <w:r w:rsidRPr="0091588D">
        <w:rPr>
          <w:rFonts w:ascii="仿宋" w:eastAsia="仿宋" w:hAnsi="仿宋"/>
          <w:sz w:val="32"/>
          <w:szCs w:val="32"/>
          <w:lang w:bidi="ar"/>
        </w:rPr>
        <w:t>《</w:t>
      </w:r>
      <w:r w:rsidRPr="0091588D">
        <w:rPr>
          <w:rFonts w:ascii="仿宋" w:eastAsia="仿宋" w:hAnsi="仿宋" w:hint="eastAsia"/>
          <w:sz w:val="32"/>
          <w:szCs w:val="32"/>
          <w:lang w:bidi="ar"/>
        </w:rPr>
        <w:t>办法</w:t>
      </w:r>
      <w:r w:rsidRPr="0091588D">
        <w:rPr>
          <w:rFonts w:ascii="仿宋" w:eastAsia="仿宋" w:hAnsi="仿宋"/>
          <w:sz w:val="32"/>
          <w:szCs w:val="32"/>
          <w:lang w:bidi="ar"/>
        </w:rPr>
        <w:t>》</w:t>
      </w:r>
      <w:r w:rsidR="001003F7" w:rsidRPr="0091588D">
        <w:rPr>
          <w:rFonts w:ascii="仿宋" w:eastAsia="仿宋" w:hAnsi="仿宋" w:hint="eastAsia"/>
          <w:sz w:val="32"/>
          <w:szCs w:val="32"/>
          <w:lang w:bidi="ar"/>
        </w:rPr>
        <w:t>共2</w:t>
      </w:r>
      <w:r w:rsidR="009B4DF2" w:rsidRPr="0091588D">
        <w:rPr>
          <w:rFonts w:ascii="仿宋" w:eastAsia="仿宋" w:hAnsi="仿宋" w:hint="eastAsia"/>
          <w:sz w:val="32"/>
          <w:szCs w:val="32"/>
          <w:lang w:bidi="ar"/>
        </w:rPr>
        <w:t>3</w:t>
      </w:r>
      <w:r w:rsidR="001003F7" w:rsidRPr="0091588D">
        <w:rPr>
          <w:rFonts w:ascii="仿宋" w:eastAsia="仿宋" w:hAnsi="仿宋" w:hint="eastAsia"/>
          <w:sz w:val="32"/>
          <w:szCs w:val="32"/>
          <w:lang w:bidi="ar"/>
        </w:rPr>
        <w:t>条，第三条对牙膏进行定义；</w:t>
      </w:r>
      <w:r w:rsidR="00A847BB" w:rsidRPr="0091588D">
        <w:rPr>
          <w:rFonts w:ascii="仿宋" w:eastAsia="仿宋" w:hAnsi="仿宋" w:hint="eastAsia"/>
          <w:sz w:val="32"/>
          <w:szCs w:val="32"/>
          <w:lang w:bidi="ar"/>
        </w:rPr>
        <w:t>第四条</w:t>
      </w:r>
      <w:r w:rsidR="00041FBF" w:rsidRPr="0091588D">
        <w:rPr>
          <w:rFonts w:ascii="仿宋" w:eastAsia="仿宋" w:hAnsi="仿宋" w:hint="eastAsia"/>
          <w:sz w:val="32"/>
          <w:szCs w:val="32"/>
          <w:lang w:bidi="ar"/>
        </w:rPr>
        <w:t>明确</w:t>
      </w:r>
      <w:r w:rsidR="00A847BB" w:rsidRPr="0091588D">
        <w:rPr>
          <w:rFonts w:ascii="仿宋" w:eastAsia="仿宋" w:hAnsi="仿宋" w:hint="eastAsia"/>
          <w:sz w:val="32"/>
          <w:szCs w:val="32"/>
          <w:lang w:bidi="ar"/>
        </w:rPr>
        <w:t>牙膏的监管事权</w:t>
      </w:r>
      <w:r w:rsidR="00041FBF" w:rsidRPr="0091588D">
        <w:rPr>
          <w:rFonts w:ascii="仿宋" w:eastAsia="仿宋" w:hAnsi="仿宋" w:hint="eastAsia"/>
          <w:sz w:val="32"/>
          <w:szCs w:val="32"/>
          <w:lang w:bidi="ar"/>
        </w:rPr>
        <w:t>；第八条对牙膏新原料进行定义并制定牙膏新原料判定依据；第九条提出牙膏已使用原料管理要求，规定牙膏新原料按标准管理，根据牙膏的特性，提出对牙膏新原料监管的特殊之处；</w:t>
      </w:r>
      <w:r w:rsidR="002A2664" w:rsidRPr="0091588D">
        <w:rPr>
          <w:rFonts w:ascii="仿宋" w:eastAsia="仿宋" w:hAnsi="仿宋" w:hint="eastAsia"/>
          <w:sz w:val="32"/>
          <w:szCs w:val="32"/>
          <w:lang w:bidi="ar"/>
        </w:rPr>
        <w:t>第十条</w:t>
      </w:r>
      <w:r w:rsidR="00E53985" w:rsidRPr="0091588D">
        <w:rPr>
          <w:rFonts w:ascii="仿宋" w:eastAsia="仿宋" w:hAnsi="仿宋" w:hint="eastAsia"/>
          <w:sz w:val="32"/>
          <w:szCs w:val="32"/>
          <w:lang w:bidi="ar"/>
        </w:rPr>
        <w:t>规定继续沿用目前</w:t>
      </w:r>
      <w:r w:rsidR="00B612B9" w:rsidRPr="0091588D">
        <w:rPr>
          <w:rFonts w:ascii="仿宋" w:eastAsia="仿宋" w:hAnsi="仿宋" w:hint="eastAsia"/>
          <w:sz w:val="32"/>
          <w:szCs w:val="32"/>
          <w:lang w:bidi="ar"/>
        </w:rPr>
        <w:t>的</w:t>
      </w:r>
      <w:r w:rsidR="00E53985" w:rsidRPr="0091588D">
        <w:rPr>
          <w:rFonts w:ascii="仿宋" w:eastAsia="仿宋" w:hAnsi="仿宋" w:hint="eastAsia"/>
          <w:sz w:val="32"/>
          <w:szCs w:val="32"/>
          <w:lang w:bidi="ar"/>
        </w:rPr>
        <w:t>牙膏生产</w:t>
      </w:r>
      <w:r w:rsidR="00B612B9" w:rsidRPr="0091588D">
        <w:rPr>
          <w:rFonts w:ascii="仿宋" w:eastAsia="仿宋" w:hAnsi="仿宋" w:hint="eastAsia"/>
          <w:sz w:val="32"/>
          <w:szCs w:val="32"/>
          <w:lang w:bidi="ar"/>
        </w:rPr>
        <w:t>许可制度，对牙膏生产</w:t>
      </w:r>
      <w:r w:rsidR="00E46737" w:rsidRPr="0091588D">
        <w:rPr>
          <w:rFonts w:ascii="仿宋" w:eastAsia="仿宋" w:hAnsi="仿宋" w:hint="eastAsia"/>
          <w:sz w:val="32"/>
          <w:szCs w:val="32"/>
          <w:lang w:bidi="ar"/>
        </w:rPr>
        <w:t>颁发化妆品生产许可证</w:t>
      </w:r>
      <w:r w:rsidR="001003F7" w:rsidRPr="0091588D">
        <w:rPr>
          <w:rFonts w:ascii="仿宋" w:eastAsia="仿宋" w:hAnsi="仿宋" w:hint="eastAsia"/>
          <w:sz w:val="32"/>
          <w:szCs w:val="32"/>
          <w:lang w:bidi="ar"/>
        </w:rPr>
        <w:t>；第十一条列出牙膏备案需要提交的资料；第十三条和第十四条主要是对牙膏的</w:t>
      </w:r>
      <w:r w:rsidR="00E53985" w:rsidRPr="0091588D">
        <w:rPr>
          <w:rFonts w:ascii="仿宋" w:eastAsia="仿宋" w:hAnsi="仿宋" w:hint="eastAsia"/>
          <w:sz w:val="32"/>
          <w:szCs w:val="32"/>
          <w:lang w:bidi="ar"/>
        </w:rPr>
        <w:t>功效</w:t>
      </w:r>
      <w:r w:rsidR="001003F7" w:rsidRPr="0091588D">
        <w:rPr>
          <w:rFonts w:ascii="仿宋" w:eastAsia="仿宋" w:hAnsi="仿宋" w:hint="eastAsia"/>
          <w:sz w:val="32"/>
          <w:szCs w:val="32"/>
          <w:lang w:bidi="ar"/>
        </w:rPr>
        <w:t>分类及命名提出相应要求，涉及功效宣称用语的不得超出</w:t>
      </w:r>
      <w:r w:rsidR="00E53985" w:rsidRPr="0091588D">
        <w:rPr>
          <w:rFonts w:ascii="仿宋" w:eastAsia="仿宋" w:hAnsi="仿宋" w:hint="eastAsia"/>
          <w:sz w:val="32"/>
          <w:szCs w:val="32"/>
          <w:lang w:bidi="ar"/>
        </w:rPr>
        <w:t>功效分类目录确定的允许宣称范围</w:t>
      </w:r>
      <w:r w:rsidR="001003F7" w:rsidRPr="0091588D">
        <w:rPr>
          <w:rFonts w:ascii="仿宋" w:eastAsia="仿宋" w:hAnsi="仿宋" w:hint="eastAsia"/>
          <w:sz w:val="32"/>
          <w:szCs w:val="32"/>
          <w:lang w:bidi="ar"/>
        </w:rPr>
        <w:t>；第十六条和第十七条是对牙膏功效评价及评价机构提出相应要求，与化妆品不同之处在于牙膏的功效</w:t>
      </w:r>
      <w:proofErr w:type="gramStart"/>
      <w:r w:rsidR="001003F7" w:rsidRPr="0091588D">
        <w:rPr>
          <w:rFonts w:ascii="仿宋" w:eastAsia="仿宋" w:hAnsi="仿宋" w:hint="eastAsia"/>
          <w:sz w:val="32"/>
          <w:szCs w:val="32"/>
          <w:lang w:bidi="ar"/>
        </w:rPr>
        <w:t>评价仅</w:t>
      </w:r>
      <w:proofErr w:type="gramEnd"/>
      <w:r w:rsidR="001003F7" w:rsidRPr="0091588D">
        <w:rPr>
          <w:rFonts w:ascii="仿宋" w:eastAsia="仿宋" w:hAnsi="仿宋" w:hint="eastAsia"/>
          <w:sz w:val="32"/>
          <w:szCs w:val="32"/>
          <w:lang w:bidi="ar"/>
        </w:rPr>
        <w:t>包括</w:t>
      </w:r>
      <w:r w:rsidR="001003F7" w:rsidRPr="0091588D">
        <w:rPr>
          <w:rFonts w:ascii="仿宋" w:eastAsia="仿宋" w:hAnsi="仿宋"/>
          <w:sz w:val="32"/>
          <w:szCs w:val="32"/>
          <w:lang w:bidi="ar"/>
        </w:rPr>
        <w:t>临床评价和实验室评价</w:t>
      </w:r>
      <w:r w:rsidR="001003F7" w:rsidRPr="0091588D">
        <w:rPr>
          <w:rFonts w:ascii="仿宋" w:eastAsia="仿宋" w:hAnsi="仿宋" w:hint="eastAsia"/>
          <w:sz w:val="32"/>
          <w:szCs w:val="32"/>
          <w:lang w:bidi="ar"/>
        </w:rPr>
        <w:t>。第二十</w:t>
      </w:r>
      <w:r w:rsidR="009B4DF2" w:rsidRPr="0091588D">
        <w:rPr>
          <w:rFonts w:ascii="仿宋" w:eastAsia="仿宋" w:hAnsi="仿宋" w:hint="eastAsia"/>
          <w:sz w:val="32"/>
          <w:szCs w:val="32"/>
          <w:lang w:bidi="ar"/>
        </w:rPr>
        <w:t>二</w:t>
      </w:r>
      <w:r w:rsidR="001003F7" w:rsidRPr="0091588D">
        <w:rPr>
          <w:rFonts w:ascii="仿宋" w:eastAsia="仿宋" w:hAnsi="仿宋" w:hint="eastAsia"/>
          <w:sz w:val="32"/>
          <w:szCs w:val="32"/>
          <w:lang w:bidi="ar"/>
        </w:rPr>
        <w:t>条明确本《</w:t>
      </w:r>
      <w:r w:rsidR="00E53985" w:rsidRPr="0091588D">
        <w:rPr>
          <w:rFonts w:ascii="仿宋" w:eastAsia="仿宋" w:hAnsi="仿宋" w:hint="eastAsia"/>
          <w:sz w:val="32"/>
          <w:szCs w:val="32"/>
          <w:lang w:bidi="ar"/>
        </w:rPr>
        <w:t>办法</w:t>
      </w:r>
      <w:r w:rsidR="001003F7" w:rsidRPr="0091588D">
        <w:rPr>
          <w:rFonts w:ascii="仿宋" w:eastAsia="仿宋" w:hAnsi="仿宋" w:hint="eastAsia"/>
          <w:sz w:val="32"/>
          <w:szCs w:val="32"/>
          <w:lang w:bidi="ar"/>
        </w:rPr>
        <w:t>》未明确的其</w:t>
      </w:r>
      <w:r w:rsidR="00E53985" w:rsidRPr="0091588D">
        <w:rPr>
          <w:rFonts w:ascii="仿宋" w:eastAsia="仿宋" w:hAnsi="仿宋" w:hint="eastAsia"/>
          <w:sz w:val="32"/>
          <w:szCs w:val="32"/>
          <w:lang w:bidi="ar"/>
        </w:rPr>
        <w:t>他</w:t>
      </w:r>
      <w:r w:rsidR="001003F7" w:rsidRPr="0091588D">
        <w:rPr>
          <w:rFonts w:ascii="仿宋" w:eastAsia="仿宋" w:hAnsi="仿宋" w:hint="eastAsia"/>
          <w:sz w:val="32"/>
          <w:szCs w:val="32"/>
          <w:lang w:bidi="ar"/>
        </w:rPr>
        <w:t>事项按照普通化妆品管理有关规定执行。</w:t>
      </w:r>
      <w:bookmarkStart w:id="0" w:name="_GoBack"/>
      <w:bookmarkEnd w:id="0"/>
    </w:p>
    <w:sectPr w:rsidR="007464C3" w:rsidRPr="00F47FB2">
      <w:footerReference w:type="default" r:id="rId7"/>
      <w:headerReference w:type="first" r:id="rId8"/>
      <w:footerReference w:type="first" r:id="rId9"/>
      <w:pgSz w:w="11906" w:h="16838"/>
      <w:pgMar w:top="1758" w:right="1531" w:bottom="1758" w:left="1531"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5C1AC" w14:textId="77777777" w:rsidR="00DD4476" w:rsidRDefault="00DD4476" w:rsidP="001003F7">
      <w:r>
        <w:separator/>
      </w:r>
    </w:p>
  </w:endnote>
  <w:endnote w:type="continuationSeparator" w:id="0">
    <w:p w14:paraId="266D866E" w14:textId="77777777" w:rsidR="00DD4476" w:rsidRDefault="00DD4476" w:rsidP="0010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C581" w14:textId="77777777" w:rsidR="00DD4476" w:rsidRDefault="00DD4476">
    <w:pPr>
      <w:pStyle w:val="a4"/>
      <w:jc w:val="center"/>
    </w:pPr>
    <w:r>
      <w:fldChar w:fldCharType="begin"/>
    </w:r>
    <w:r>
      <w:instrText>PAGE   \* MERGEFORMAT</w:instrText>
    </w:r>
    <w:r>
      <w:fldChar w:fldCharType="separate"/>
    </w:r>
    <w:r w:rsidR="00C779BE" w:rsidRPr="00C779BE">
      <w:rPr>
        <w:noProof/>
        <w:lang w:val="zh-CN"/>
      </w:rPr>
      <w:t>2</w:t>
    </w:r>
    <w:r>
      <w:fldChar w:fldCharType="end"/>
    </w:r>
  </w:p>
  <w:p w14:paraId="29CAC852" w14:textId="77777777" w:rsidR="00DD4476" w:rsidRDefault="00DD44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CFC15" w14:textId="77777777" w:rsidR="00DD4476" w:rsidRDefault="00DD4476">
    <w:pPr>
      <w:pStyle w:val="a4"/>
    </w:pPr>
    <w:r>
      <w:rPr>
        <w:noProof/>
      </w:rPr>
      <mc:AlternateContent>
        <mc:Choice Requires="wps">
          <w:drawing>
            <wp:anchor distT="0" distB="0" distL="114300" distR="114300" simplePos="0" relativeHeight="251659264" behindDoc="1" locked="0" layoutInCell="1" allowOverlap="1" wp14:anchorId="4F3852A9" wp14:editId="3EC80146">
              <wp:simplePos x="0" y="0"/>
              <wp:positionH relativeFrom="column">
                <wp:posOffset>-181610</wp:posOffset>
              </wp:positionH>
              <wp:positionV relativeFrom="paragraph">
                <wp:posOffset>-405765</wp:posOffset>
              </wp:positionV>
              <wp:extent cx="6162675" cy="1152525"/>
              <wp:effectExtent l="8890" t="13335" r="10160"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52525"/>
                      </a:xfrm>
                      <a:prstGeom prst="rect">
                        <a:avLst/>
                      </a:prstGeom>
                      <a:solidFill>
                        <a:srgbClr val="FFFFFF"/>
                      </a:solidFill>
                      <a:ln w="9525" cmpd="sng">
                        <a:solidFill>
                          <a:srgbClr val="FFFFFF"/>
                        </a:solidFill>
                        <a:miter lim="800000"/>
                      </a:ln>
                    </wps:spPr>
                    <wps:txbx>
                      <w:txbxContent>
                        <w:p w14:paraId="421562CD" w14:textId="77777777" w:rsidR="00DD4476" w:rsidRDefault="00DD4476"/>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4.3pt;margin-top:-31.95pt;width:485.25pt;height:90.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" strokecolor="white">
              <v:textbox>
                <w:txbxContent>
                  <w:p w14:paraId="421562CD" w14:textId="77777777" w:rsidR="0086606B" w:rsidRDefault="0086606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F5137" w14:textId="77777777" w:rsidR="00DD4476" w:rsidRDefault="00DD4476" w:rsidP="001003F7">
      <w:r>
        <w:separator/>
      </w:r>
    </w:p>
  </w:footnote>
  <w:footnote w:type="continuationSeparator" w:id="0">
    <w:p w14:paraId="3EF67F41" w14:textId="77777777" w:rsidR="00DD4476" w:rsidRDefault="00DD4476" w:rsidP="00100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A86A0" w14:textId="77777777" w:rsidR="00DD4476" w:rsidRDefault="00DD4476">
    <w:pP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EC"/>
    <w:rsid w:val="00015352"/>
    <w:rsid w:val="00041FBF"/>
    <w:rsid w:val="00047F27"/>
    <w:rsid w:val="000B3D0D"/>
    <w:rsid w:val="000C2A9D"/>
    <w:rsid w:val="001003F7"/>
    <w:rsid w:val="002007EC"/>
    <w:rsid w:val="002528FE"/>
    <w:rsid w:val="002A2664"/>
    <w:rsid w:val="00380FCF"/>
    <w:rsid w:val="00381874"/>
    <w:rsid w:val="0047339A"/>
    <w:rsid w:val="00493076"/>
    <w:rsid w:val="00497B80"/>
    <w:rsid w:val="004F7D97"/>
    <w:rsid w:val="007464C3"/>
    <w:rsid w:val="00756FDD"/>
    <w:rsid w:val="0078079F"/>
    <w:rsid w:val="008154E6"/>
    <w:rsid w:val="00855E06"/>
    <w:rsid w:val="0086606B"/>
    <w:rsid w:val="0091588D"/>
    <w:rsid w:val="009438E3"/>
    <w:rsid w:val="009B4DF2"/>
    <w:rsid w:val="009E03F8"/>
    <w:rsid w:val="00A847BB"/>
    <w:rsid w:val="00B612B9"/>
    <w:rsid w:val="00BB7353"/>
    <w:rsid w:val="00C779BE"/>
    <w:rsid w:val="00DD4476"/>
    <w:rsid w:val="00E26948"/>
    <w:rsid w:val="00E46737"/>
    <w:rsid w:val="00E53985"/>
    <w:rsid w:val="00F47FB2"/>
    <w:rsid w:val="00FE7901"/>
    <w:rsid w:val="00FF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F6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3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03F7"/>
    <w:rPr>
      <w:sz w:val="18"/>
      <w:szCs w:val="18"/>
    </w:rPr>
  </w:style>
  <w:style w:type="paragraph" w:styleId="a4">
    <w:name w:val="footer"/>
    <w:basedOn w:val="a"/>
    <w:link w:val="Char0"/>
    <w:uiPriority w:val="99"/>
    <w:unhideWhenUsed/>
    <w:qFormat/>
    <w:rsid w:val="001003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1003F7"/>
    <w:rPr>
      <w:sz w:val="18"/>
      <w:szCs w:val="18"/>
    </w:rPr>
  </w:style>
  <w:style w:type="paragraph" w:styleId="a5">
    <w:name w:val="Balloon Text"/>
    <w:basedOn w:val="a"/>
    <w:link w:val="Char1"/>
    <w:uiPriority w:val="99"/>
    <w:semiHidden/>
    <w:unhideWhenUsed/>
    <w:rsid w:val="00E26948"/>
    <w:rPr>
      <w:sz w:val="18"/>
      <w:szCs w:val="18"/>
    </w:rPr>
  </w:style>
  <w:style w:type="character" w:customStyle="1" w:styleId="Char1">
    <w:name w:val="批注框文本 Char"/>
    <w:basedOn w:val="a0"/>
    <w:link w:val="a5"/>
    <w:uiPriority w:val="99"/>
    <w:semiHidden/>
    <w:rsid w:val="00E26948"/>
    <w:rPr>
      <w:rFonts w:ascii="Times New Roman" w:eastAsia="宋体" w:hAnsi="Times New Roman" w:cs="Times New Roman"/>
      <w:sz w:val="18"/>
      <w:szCs w:val="18"/>
    </w:rPr>
  </w:style>
  <w:style w:type="paragraph" w:styleId="a6">
    <w:name w:val="Normal (Web)"/>
    <w:basedOn w:val="a"/>
    <w:rsid w:val="0091588D"/>
    <w:pPr>
      <w:spacing w:before="100" w:beforeAutospacing="1" w:after="100"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3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03F7"/>
    <w:rPr>
      <w:sz w:val="18"/>
      <w:szCs w:val="18"/>
    </w:rPr>
  </w:style>
  <w:style w:type="paragraph" w:styleId="a4">
    <w:name w:val="footer"/>
    <w:basedOn w:val="a"/>
    <w:link w:val="Char0"/>
    <w:uiPriority w:val="99"/>
    <w:unhideWhenUsed/>
    <w:qFormat/>
    <w:rsid w:val="001003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1003F7"/>
    <w:rPr>
      <w:sz w:val="18"/>
      <w:szCs w:val="18"/>
    </w:rPr>
  </w:style>
  <w:style w:type="paragraph" w:styleId="a5">
    <w:name w:val="Balloon Text"/>
    <w:basedOn w:val="a"/>
    <w:link w:val="Char1"/>
    <w:uiPriority w:val="99"/>
    <w:semiHidden/>
    <w:unhideWhenUsed/>
    <w:rsid w:val="00E26948"/>
    <w:rPr>
      <w:sz w:val="18"/>
      <w:szCs w:val="18"/>
    </w:rPr>
  </w:style>
  <w:style w:type="character" w:customStyle="1" w:styleId="Char1">
    <w:name w:val="批注框文本 Char"/>
    <w:basedOn w:val="a0"/>
    <w:link w:val="a5"/>
    <w:uiPriority w:val="99"/>
    <w:semiHidden/>
    <w:rsid w:val="00E26948"/>
    <w:rPr>
      <w:rFonts w:ascii="Times New Roman" w:eastAsia="宋体" w:hAnsi="Times New Roman" w:cs="Times New Roman"/>
      <w:sz w:val="18"/>
      <w:szCs w:val="18"/>
    </w:rPr>
  </w:style>
  <w:style w:type="paragraph" w:styleId="a6">
    <w:name w:val="Normal (Web)"/>
    <w:basedOn w:val="a"/>
    <w:rsid w:val="0091588D"/>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8613911929886</dc:creator>
  <cp:keywords/>
  <dc:description/>
  <cp:lastModifiedBy>view01</cp:lastModifiedBy>
  <cp:revision>32</cp:revision>
  <cp:lastPrinted>2020-11-11T08:31:00Z</cp:lastPrinted>
  <dcterms:created xsi:type="dcterms:W3CDTF">2020-10-15T03:26:00Z</dcterms:created>
  <dcterms:modified xsi:type="dcterms:W3CDTF">2020-11-11T08:58:00Z</dcterms:modified>
</cp:coreProperties>
</file>