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733" w:rsidRDefault="00693FDB" w:rsidP="00130E3D">
      <w:pPr>
        <w:rPr>
          <w:rFonts w:ascii="黑体" w:eastAsia="黑体" w:hAnsi="华文仿宋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附件1</w:t>
      </w:r>
    </w:p>
    <w:p w:rsidR="00494733" w:rsidRDefault="00494733">
      <w:pPr>
        <w:spacing w:line="560" w:lineRule="exact"/>
        <w:rPr>
          <w:rFonts w:ascii="黑体" w:eastAsia="黑体" w:hAnsi="华文仿宋"/>
          <w:sz w:val="32"/>
          <w:szCs w:val="32"/>
        </w:rPr>
      </w:pPr>
    </w:p>
    <w:p w:rsidR="00494733" w:rsidRDefault="00693FDB">
      <w:pPr>
        <w:spacing w:line="560" w:lineRule="exact"/>
        <w:ind w:firstLineChars="200" w:firstLine="88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吡拉西坦口服制剂说明书修订要求</w:t>
      </w:r>
    </w:p>
    <w:p w:rsidR="00494733" w:rsidRDefault="00494733">
      <w:pPr>
        <w:spacing w:line="560" w:lineRule="exact"/>
        <w:ind w:firstLineChars="200" w:firstLine="880"/>
        <w:rPr>
          <w:rFonts w:ascii="方正小标宋简体" w:eastAsia="方正小标宋简体"/>
          <w:sz w:val="44"/>
          <w:szCs w:val="44"/>
        </w:rPr>
      </w:pPr>
    </w:p>
    <w:p w:rsidR="00494733" w:rsidRDefault="00693FDB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注：此次修订包括</w:t>
      </w:r>
      <w:r>
        <w:rPr>
          <w:rFonts w:ascii="Times New Roman" w:eastAsia="仿宋_GB2312" w:hAnsi="Times New Roman" w:hint="eastAsia"/>
          <w:sz w:val="32"/>
          <w:szCs w:val="32"/>
        </w:rPr>
        <w:t>吡拉西坦分散片、吡拉西坦片、吡拉西坦胶囊、吡拉西坦颗粒、吡拉西坦口服溶液。</w:t>
      </w:r>
    </w:p>
    <w:p w:rsidR="00494733" w:rsidRDefault="00693FDB">
      <w:pPr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一、【不良反应】应包含以下内容：</w:t>
      </w:r>
    </w:p>
    <w:p w:rsidR="00494733" w:rsidRDefault="00693FD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根据文献报道，安慰剂盲法对照临床试验和药物临床试验包括</w:t>
      </w:r>
      <w:r>
        <w:rPr>
          <w:rFonts w:ascii="Times New Roman" w:eastAsia="仿宋_GB2312" w:hAnsi="Times New Roman"/>
          <w:sz w:val="32"/>
          <w:szCs w:val="32"/>
        </w:rPr>
        <w:t>3000</w:t>
      </w:r>
      <w:r>
        <w:rPr>
          <w:rFonts w:ascii="Times New Roman" w:eastAsia="仿宋_GB2312" w:hAnsi="Times New Roman"/>
          <w:sz w:val="32"/>
          <w:szCs w:val="32"/>
        </w:rPr>
        <w:t>多例接受吡拉西坦的受试者（不论适应症、剂型、日剂量和人群特点）。下表列出了临床试验及上市后使用经验中报告的不良反应发生率。发生率定义如下：非常常见（</w:t>
      </w:r>
      <w:r>
        <w:rPr>
          <w:rFonts w:ascii="Times New Roman" w:eastAsia="仿宋_GB2312" w:hAnsi="Times New Roman"/>
          <w:sz w:val="32"/>
          <w:szCs w:val="32"/>
        </w:rPr>
        <w:t>≥1/10</w:t>
      </w:r>
      <w:r>
        <w:rPr>
          <w:rFonts w:ascii="Times New Roman" w:eastAsia="仿宋_GB2312" w:hAnsi="Times New Roman"/>
          <w:sz w:val="32"/>
          <w:szCs w:val="32"/>
        </w:rPr>
        <w:t>），常见（</w:t>
      </w:r>
      <w:r>
        <w:rPr>
          <w:rFonts w:ascii="Times New Roman" w:eastAsia="仿宋_GB2312" w:hAnsi="Times New Roman"/>
          <w:sz w:val="32"/>
          <w:szCs w:val="32"/>
        </w:rPr>
        <w:t>≥1/100</w:t>
      </w:r>
      <w:r>
        <w:rPr>
          <w:rFonts w:ascii="Times New Roman" w:eastAsia="仿宋_GB2312" w:hAnsi="Times New Roman"/>
          <w:sz w:val="32"/>
          <w:szCs w:val="32"/>
        </w:rPr>
        <w:t>至</w:t>
      </w:r>
      <w:r>
        <w:rPr>
          <w:rFonts w:ascii="Times New Roman" w:eastAsia="仿宋_GB2312" w:hAnsi="Times New Roman"/>
          <w:sz w:val="32"/>
          <w:szCs w:val="32"/>
        </w:rPr>
        <w:t>&lt;1/10</w:t>
      </w:r>
      <w:r>
        <w:rPr>
          <w:rFonts w:ascii="Times New Roman" w:eastAsia="仿宋_GB2312" w:hAnsi="Times New Roman"/>
          <w:sz w:val="32"/>
          <w:szCs w:val="32"/>
        </w:rPr>
        <w:t>），不常见（</w:t>
      </w:r>
      <w:r>
        <w:rPr>
          <w:rFonts w:ascii="Times New Roman" w:eastAsia="仿宋_GB2312" w:hAnsi="Times New Roman"/>
          <w:sz w:val="32"/>
          <w:szCs w:val="32"/>
        </w:rPr>
        <w:t>≥1/1000</w:t>
      </w:r>
      <w:r>
        <w:rPr>
          <w:rFonts w:ascii="Times New Roman" w:eastAsia="仿宋_GB2312" w:hAnsi="Times New Roman"/>
          <w:sz w:val="32"/>
          <w:szCs w:val="32"/>
        </w:rPr>
        <w:t>至</w:t>
      </w:r>
      <w:r>
        <w:rPr>
          <w:rFonts w:ascii="Times New Roman" w:eastAsia="仿宋_GB2312" w:hAnsi="Times New Roman"/>
          <w:sz w:val="32"/>
          <w:szCs w:val="32"/>
        </w:rPr>
        <w:t>&lt;1/100</w:t>
      </w:r>
      <w:r>
        <w:rPr>
          <w:rFonts w:ascii="Times New Roman" w:eastAsia="仿宋_GB2312" w:hAnsi="Times New Roman"/>
          <w:sz w:val="32"/>
          <w:szCs w:val="32"/>
        </w:rPr>
        <w:t>），罕见（</w:t>
      </w:r>
      <w:r>
        <w:rPr>
          <w:rFonts w:ascii="Times New Roman" w:eastAsia="仿宋_GB2312" w:hAnsi="Times New Roman"/>
          <w:sz w:val="32"/>
          <w:szCs w:val="32"/>
        </w:rPr>
        <w:t>≥1/10000</w:t>
      </w:r>
      <w:r>
        <w:rPr>
          <w:rFonts w:ascii="Times New Roman" w:eastAsia="仿宋_GB2312" w:hAnsi="Times New Roman"/>
          <w:sz w:val="32"/>
          <w:szCs w:val="32"/>
        </w:rPr>
        <w:t>至</w:t>
      </w:r>
      <w:r>
        <w:rPr>
          <w:rFonts w:ascii="Times New Roman" w:eastAsia="仿宋_GB2312" w:hAnsi="Times New Roman"/>
          <w:sz w:val="32"/>
          <w:szCs w:val="32"/>
        </w:rPr>
        <w:t>&lt;1/1000</w:t>
      </w:r>
      <w:r>
        <w:rPr>
          <w:rFonts w:ascii="Times New Roman" w:eastAsia="仿宋_GB2312" w:hAnsi="Times New Roman"/>
          <w:sz w:val="32"/>
          <w:szCs w:val="32"/>
        </w:rPr>
        <w:t>），非常罕见（</w:t>
      </w:r>
      <w:r>
        <w:rPr>
          <w:rFonts w:ascii="Times New Roman" w:eastAsia="仿宋_GB2312" w:hAnsi="Times New Roman"/>
          <w:sz w:val="32"/>
          <w:szCs w:val="32"/>
        </w:rPr>
        <w:t>&lt;1/10000</w:t>
      </w:r>
      <w:r>
        <w:rPr>
          <w:rFonts w:ascii="Times New Roman" w:eastAsia="仿宋_GB2312" w:hAnsi="Times New Roman"/>
          <w:sz w:val="32"/>
          <w:szCs w:val="32"/>
        </w:rPr>
        <w:t>），未知（现有数据无法对发生频率进行估计，如上市后监测数据）。</w:t>
      </w:r>
    </w:p>
    <w:p w:rsidR="00494733" w:rsidRDefault="00693FD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  <w:u w:val="single"/>
        </w:rPr>
        <w:t>血液和淋巴系统</w:t>
      </w:r>
    </w:p>
    <w:p w:rsidR="00494733" w:rsidRDefault="00693FD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未知：出血</w:t>
      </w:r>
    </w:p>
    <w:p w:rsidR="00494733" w:rsidRDefault="00693FD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  <w:u w:val="single"/>
        </w:rPr>
        <w:t>免疫系统</w:t>
      </w:r>
    </w:p>
    <w:p w:rsidR="00494733" w:rsidRDefault="00693FDB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未知：过敏反应、超敏</w:t>
      </w:r>
      <w:r>
        <w:rPr>
          <w:rFonts w:ascii="Times New Roman" w:eastAsia="仿宋_GB2312" w:hAnsi="Times New Roman"/>
          <w:color w:val="000000"/>
          <w:sz w:val="32"/>
          <w:szCs w:val="32"/>
        </w:rPr>
        <w:t>反应、过敏性休克</w:t>
      </w:r>
    </w:p>
    <w:p w:rsidR="00494733" w:rsidRDefault="00693FDB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  <w:u w:val="single"/>
        </w:rPr>
        <w:t>精神系统</w:t>
      </w:r>
    </w:p>
    <w:p w:rsidR="00494733" w:rsidRDefault="00693FDB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常见：神经质</w:t>
      </w:r>
    </w:p>
    <w:p w:rsidR="00494733" w:rsidRDefault="00693FDB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不常见：抑郁</w:t>
      </w:r>
    </w:p>
    <w:p w:rsidR="00494733" w:rsidRDefault="00693FDB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未知：激动、焦虑、思维混乱、幻觉、精神障碍、易激惹、烦躁、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睡眠障碍</w:t>
      </w:r>
    </w:p>
    <w:p w:rsidR="00494733" w:rsidRDefault="00693FDB">
      <w:pPr>
        <w:spacing w:line="59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lastRenderedPageBreak/>
        <w:t>神经系统</w:t>
      </w:r>
    </w:p>
    <w:p w:rsidR="00494733" w:rsidRDefault="00693FDB">
      <w:pPr>
        <w:spacing w:line="59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常见：运动机能亢进</w:t>
      </w:r>
    </w:p>
    <w:p w:rsidR="00494733" w:rsidRDefault="00693FDB">
      <w:pPr>
        <w:spacing w:line="59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不常见：嗜睡</w:t>
      </w:r>
    </w:p>
    <w:p w:rsidR="00494733" w:rsidRDefault="00693FDB">
      <w:pPr>
        <w:spacing w:line="59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未知：共济失调、平衡障碍、癫痫加重、头痛、头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晕、</w:t>
      </w:r>
      <w:r>
        <w:rPr>
          <w:rFonts w:ascii="Times New Roman" w:eastAsia="仿宋_GB2312" w:hAnsi="Times New Roman"/>
          <w:color w:val="000000"/>
          <w:sz w:val="32"/>
          <w:szCs w:val="32"/>
        </w:rPr>
        <w:t>失眠、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诱发癫痫发作、震颤、味觉异常</w:t>
      </w:r>
    </w:p>
    <w:p w:rsidR="00494733" w:rsidRDefault="00693FDB">
      <w:pPr>
        <w:spacing w:line="59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>耳和迷路</w:t>
      </w:r>
    </w:p>
    <w:p w:rsidR="00494733" w:rsidRDefault="00693FDB">
      <w:pPr>
        <w:spacing w:line="59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未知：眩晕</w:t>
      </w:r>
    </w:p>
    <w:p w:rsidR="00494733" w:rsidRDefault="00693FDB">
      <w:pPr>
        <w:spacing w:line="59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>胃肠系统</w:t>
      </w:r>
    </w:p>
    <w:p w:rsidR="00494733" w:rsidRDefault="00693FDB">
      <w:pPr>
        <w:spacing w:line="59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未知：腹痛、上腹痛、腹泻、恶心、呕吐、腹胀、腹部不适、胃肠胀气、胃不适、胃溃疡出血、反酸、呃逆</w:t>
      </w:r>
    </w:p>
    <w:p w:rsidR="00494733" w:rsidRDefault="00693FDB">
      <w:pPr>
        <w:spacing w:line="59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>皮肤和皮下组织</w:t>
      </w:r>
    </w:p>
    <w:p w:rsidR="00494733" w:rsidRDefault="00693FDB">
      <w:pPr>
        <w:spacing w:line="59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未知：荨麻疹、斑丘疹、水疱疹等各类皮疹，瘙痒、皮炎、血管神经性水肿、皮肤红肿、皮肤肿胀</w:t>
      </w:r>
    </w:p>
    <w:p w:rsidR="00494733" w:rsidRDefault="00693FDB">
      <w:pPr>
        <w:spacing w:line="59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>全身和一般状况</w:t>
      </w:r>
    </w:p>
    <w:p w:rsidR="00494733" w:rsidRDefault="00693FDB">
      <w:pPr>
        <w:spacing w:line="59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未知：无力、发热、寒战、疼痛、水肿、胸闷</w:t>
      </w:r>
    </w:p>
    <w:p w:rsidR="00494733" w:rsidRDefault="00693FDB">
      <w:pPr>
        <w:tabs>
          <w:tab w:val="center" w:pos="4153"/>
        </w:tabs>
        <w:spacing w:line="59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>各类检查</w:t>
      </w:r>
    </w:p>
    <w:p w:rsidR="00494733" w:rsidRDefault="00693FDB">
      <w:pPr>
        <w:tabs>
          <w:tab w:val="left" w:pos="2780"/>
        </w:tabs>
        <w:spacing w:line="59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常见：体重增加</w:t>
      </w:r>
      <w:r>
        <w:rPr>
          <w:rFonts w:ascii="Times New Roman" w:eastAsia="仿宋_GB2312" w:hAnsi="Times New Roman"/>
          <w:color w:val="000000"/>
          <w:sz w:val="32"/>
          <w:szCs w:val="32"/>
        </w:rPr>
        <w:tab/>
      </w:r>
    </w:p>
    <w:p w:rsidR="00494733" w:rsidRDefault="00693FDB">
      <w:pPr>
        <w:spacing w:line="59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未知：血压升高、血压降低、转氨酶升高</w:t>
      </w:r>
    </w:p>
    <w:p w:rsidR="00494733" w:rsidRDefault="00693FDB">
      <w:pPr>
        <w:spacing w:line="59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>肝胆系统</w:t>
      </w:r>
    </w:p>
    <w:p w:rsidR="00494733" w:rsidRDefault="00693FDB">
      <w:pPr>
        <w:spacing w:line="59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未知：肝功能异常、肝细胞损害</w:t>
      </w:r>
    </w:p>
    <w:p w:rsidR="00494733" w:rsidRDefault="00693FDB">
      <w:pPr>
        <w:spacing w:line="59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>其他：</w:t>
      </w:r>
    </w:p>
    <w:p w:rsidR="00494733" w:rsidRDefault="00693FDB">
      <w:pPr>
        <w:spacing w:line="59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心悸、潮红、呼吸困难、食欲减退、厌食</w:t>
      </w:r>
    </w:p>
    <w:p w:rsidR="00494733" w:rsidRDefault="00693FDB">
      <w:pPr>
        <w:spacing w:line="560" w:lineRule="exact"/>
        <w:ind w:firstLineChars="200" w:firstLine="640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</w:rPr>
        <w:lastRenderedPageBreak/>
        <w:t>二、【禁忌】应包含以下内容：</w:t>
      </w:r>
    </w:p>
    <w:p w:rsidR="00494733" w:rsidRDefault="00693FDB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对本品任何成份过敏者禁用。</w:t>
      </w:r>
    </w:p>
    <w:p w:rsidR="00494733" w:rsidRDefault="00693FDB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严重肾功能损害患者禁用。</w:t>
      </w:r>
    </w:p>
    <w:p w:rsidR="00494733" w:rsidRDefault="00693FD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重度肝功能障碍患者禁用。</w:t>
      </w:r>
    </w:p>
    <w:p w:rsidR="00494733" w:rsidRDefault="00693FD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锥体外系疾病，</w:t>
      </w:r>
      <w:r>
        <w:rPr>
          <w:rFonts w:ascii="Times New Roman" w:eastAsia="仿宋_GB2312" w:hAnsi="Times New Roman"/>
          <w:sz w:val="32"/>
          <w:szCs w:val="32"/>
        </w:rPr>
        <w:t>Huntington</w:t>
      </w:r>
      <w:r>
        <w:rPr>
          <w:rFonts w:ascii="Times New Roman" w:eastAsia="仿宋_GB2312" w:hAnsi="Times New Roman"/>
          <w:sz w:val="32"/>
          <w:szCs w:val="32"/>
        </w:rPr>
        <w:t>舞蹈症者禁用，以免加重症状。</w:t>
      </w:r>
    </w:p>
    <w:p w:rsidR="00494733" w:rsidRDefault="00693FD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脑出血患者禁用。</w:t>
      </w:r>
    </w:p>
    <w:p w:rsidR="00494733" w:rsidRDefault="00693FD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孕妇禁用。</w:t>
      </w:r>
    </w:p>
    <w:p w:rsidR="00494733" w:rsidRDefault="00693FD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新生儿禁用。</w:t>
      </w:r>
    </w:p>
    <w:p w:rsidR="00494733" w:rsidRDefault="00693FDB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三、【注意事项】应包含以下内容：</w:t>
      </w:r>
    </w:p>
    <w:p w:rsidR="00494733" w:rsidRDefault="00693FDB">
      <w:pPr>
        <w:spacing w:line="56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1.</w:t>
      </w:r>
      <w:r>
        <w:rPr>
          <w:rFonts w:ascii="Times New Roman" w:eastAsia="仿宋_GB2312" w:hAnsi="Times New Roman"/>
          <w:bCs/>
          <w:sz w:val="32"/>
          <w:szCs w:val="32"/>
        </w:rPr>
        <w:t>由于吡拉西坦对于血小板聚集的影响，在下列患者应谨慎使用：严重出血或存在出血风险的患者</w:t>
      </w:r>
      <w:r>
        <w:rPr>
          <w:rFonts w:ascii="Times New Roman" w:eastAsia="仿宋_GB2312" w:hAnsi="Times New Roman"/>
          <w:bCs/>
          <w:sz w:val="32"/>
          <w:szCs w:val="32"/>
        </w:rPr>
        <w:t>,</w:t>
      </w:r>
      <w:r>
        <w:rPr>
          <w:rFonts w:ascii="Times New Roman" w:eastAsia="仿宋_GB2312" w:hAnsi="Times New Roman"/>
          <w:bCs/>
          <w:sz w:val="32"/>
          <w:szCs w:val="32"/>
        </w:rPr>
        <w:t>如消化性溃疡、潜在凝血障碍、出血性脑血管病史、接受重大手术</w:t>
      </w:r>
      <w:r>
        <w:rPr>
          <w:rFonts w:ascii="Times New Roman" w:eastAsia="仿宋_GB2312" w:hAnsi="Times New Roman"/>
          <w:bCs/>
          <w:sz w:val="32"/>
          <w:szCs w:val="32"/>
          <w:lang w:val="en"/>
        </w:rPr>
        <w:t>（</w:t>
      </w:r>
      <w:r>
        <w:rPr>
          <w:rFonts w:ascii="Times New Roman" w:eastAsia="仿宋_GB2312" w:hAnsi="Times New Roman"/>
          <w:bCs/>
          <w:sz w:val="32"/>
          <w:szCs w:val="32"/>
        </w:rPr>
        <w:t>包括牙科手术</w:t>
      </w:r>
      <w:r>
        <w:rPr>
          <w:rFonts w:ascii="Times New Roman" w:eastAsia="仿宋_GB2312" w:hAnsi="Times New Roman"/>
          <w:bCs/>
          <w:sz w:val="32"/>
          <w:szCs w:val="32"/>
          <w:lang w:val="en"/>
        </w:rPr>
        <w:t>）</w:t>
      </w:r>
      <w:r>
        <w:rPr>
          <w:rFonts w:ascii="Times New Roman" w:eastAsia="仿宋_GB2312" w:hAnsi="Times New Roman"/>
          <w:bCs/>
          <w:sz w:val="32"/>
          <w:szCs w:val="32"/>
        </w:rPr>
        <w:t>、使用抗凝剂或抗血小板聚集药物</w:t>
      </w:r>
      <w:r>
        <w:rPr>
          <w:rFonts w:ascii="Times New Roman" w:eastAsia="仿宋_GB2312" w:hAnsi="Times New Roman"/>
          <w:bCs/>
          <w:sz w:val="32"/>
          <w:szCs w:val="32"/>
          <w:lang w:val="en"/>
        </w:rPr>
        <w:t>（</w:t>
      </w:r>
      <w:r>
        <w:rPr>
          <w:rFonts w:ascii="Times New Roman" w:eastAsia="仿宋_GB2312" w:hAnsi="Times New Roman"/>
          <w:bCs/>
          <w:sz w:val="32"/>
          <w:szCs w:val="32"/>
        </w:rPr>
        <w:t>包括小剂量阿司匹林</w:t>
      </w:r>
      <w:r>
        <w:rPr>
          <w:rFonts w:ascii="Times New Roman" w:eastAsia="仿宋_GB2312" w:hAnsi="Times New Roman"/>
          <w:bCs/>
          <w:sz w:val="32"/>
          <w:szCs w:val="32"/>
          <w:lang w:val="en"/>
        </w:rPr>
        <w:t>）</w:t>
      </w:r>
      <w:r>
        <w:rPr>
          <w:rFonts w:ascii="Times New Roman" w:eastAsia="仿宋_GB2312" w:hAnsi="Times New Roman"/>
          <w:bCs/>
          <w:sz w:val="32"/>
          <w:szCs w:val="32"/>
        </w:rPr>
        <w:t>的患者。</w:t>
      </w:r>
    </w:p>
    <w:p w:rsidR="00494733" w:rsidRDefault="00693FDB">
      <w:pPr>
        <w:spacing w:line="56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2.</w:t>
      </w:r>
      <w:r>
        <w:rPr>
          <w:rFonts w:ascii="Times New Roman" w:eastAsia="仿宋_GB2312" w:hAnsi="Times New Roman"/>
          <w:bCs/>
          <w:sz w:val="32"/>
          <w:szCs w:val="32"/>
        </w:rPr>
        <w:t>肾功能损害。由于吡拉西坦通过肾脏排泄，因此轻、中度肾功能功能障碍者慎用并适当减少剂量。严重肾功能损害患者禁用。</w:t>
      </w:r>
    </w:p>
    <w:p w:rsidR="00494733" w:rsidRDefault="00693FDB">
      <w:pPr>
        <w:spacing w:line="560" w:lineRule="exact"/>
        <w:ind w:firstLineChars="200" w:firstLine="640"/>
        <w:rPr>
          <w:rFonts w:ascii="Times New Roman" w:eastAsia="仿宋_GB2312" w:hAnsi="Times New Roman"/>
          <w:bCs/>
          <w:strike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3.</w:t>
      </w:r>
      <w:r>
        <w:rPr>
          <w:rFonts w:ascii="Times New Roman" w:eastAsia="仿宋_GB2312" w:hAnsi="Times New Roman"/>
          <w:bCs/>
          <w:sz w:val="32"/>
          <w:szCs w:val="32"/>
        </w:rPr>
        <w:t>长期应用的老年人，应定期监测肾功能，如需要应适时进行剂量调整。</w:t>
      </w:r>
    </w:p>
    <w:p w:rsidR="00494733" w:rsidRDefault="00693FDB">
      <w:pPr>
        <w:pStyle w:val="4"/>
        <w:spacing w:line="56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四、【孕妇及哺乳期妇女用药】应包含以下内容：</w:t>
      </w:r>
    </w:p>
    <w:p w:rsidR="00494733" w:rsidRDefault="00693FDB">
      <w:pPr>
        <w:pStyle w:val="4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妊娠期妇女：吡拉西坦易透过胎盘屏障，没有充足的数据应用于妊娠期妇女，妊娠期妇女禁用。</w:t>
      </w:r>
    </w:p>
    <w:p w:rsidR="00494733" w:rsidRDefault="00693FDB">
      <w:pPr>
        <w:pStyle w:val="4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哺乳期妇女：吡拉西坦在人体通过乳汁分泌，应在权衡母乳喂养对儿童的益处和妇女治疗的益处后，决定停止使用吡拉西坦</w:t>
      </w:r>
      <w:r>
        <w:rPr>
          <w:rFonts w:ascii="Times New Roman" w:eastAsia="仿宋_GB2312" w:hAnsi="Times New Roman"/>
          <w:sz w:val="32"/>
          <w:szCs w:val="32"/>
        </w:rPr>
        <w:lastRenderedPageBreak/>
        <w:t>或停止母乳喂养。</w:t>
      </w:r>
    </w:p>
    <w:p w:rsidR="00494733" w:rsidRDefault="00693FDB">
      <w:pPr>
        <w:pStyle w:val="4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生殖力：吡拉西坦对生殖力的影响尚无临床资料。动物试验表明吡拉西坦对雄性和雌性大鼠的生殖力没有影响。</w:t>
      </w:r>
    </w:p>
    <w:p w:rsidR="00494733" w:rsidRDefault="00693FDB">
      <w:pPr>
        <w:pStyle w:val="4"/>
        <w:spacing w:line="56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五、【儿童用药】应包含以下内容：</w:t>
      </w:r>
    </w:p>
    <w:p w:rsidR="00494733" w:rsidRDefault="00693FDB">
      <w:pPr>
        <w:pStyle w:val="4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新生儿禁用。</w:t>
      </w:r>
    </w:p>
    <w:p w:rsidR="00494733" w:rsidRDefault="00693FDB">
      <w:pPr>
        <w:pStyle w:val="4"/>
        <w:spacing w:line="56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六、【老年用药】应包含以下内容：</w:t>
      </w:r>
    </w:p>
    <w:p w:rsidR="00494733" w:rsidRDefault="00693FDB">
      <w:pPr>
        <w:pStyle w:val="4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肾功能受损的老年患者应调整剂量。长期应用的老年人，应定期监测肾功能，如需要应适时进行剂量调整。</w:t>
      </w:r>
    </w:p>
    <w:p w:rsidR="00494733" w:rsidRDefault="00693FDB">
      <w:pPr>
        <w:pStyle w:val="4"/>
        <w:spacing w:line="560" w:lineRule="exact"/>
        <w:ind w:firstLine="640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32"/>
          <w:szCs w:val="32"/>
        </w:rPr>
        <w:t>七、【</w:t>
      </w:r>
      <w:r>
        <w:rPr>
          <w:rFonts w:ascii="Times New Roman" w:eastAsia="黑体" w:hAnsi="Times New Roman"/>
          <w:bCs/>
          <w:sz w:val="32"/>
          <w:szCs w:val="32"/>
        </w:rPr>
        <w:t>药物相互作用</w:t>
      </w:r>
      <w:r>
        <w:rPr>
          <w:rFonts w:ascii="Times New Roman" w:eastAsia="黑体" w:hAnsi="Times New Roman"/>
          <w:sz w:val="32"/>
          <w:szCs w:val="32"/>
        </w:rPr>
        <w:t>】应包含以下内容：</w:t>
      </w:r>
      <w:r>
        <w:rPr>
          <w:rFonts w:ascii="Times New Roman" w:eastAsia="黑体" w:hAnsi="Times New Roman"/>
          <w:bCs/>
          <w:sz w:val="24"/>
          <w:szCs w:val="24"/>
        </w:rPr>
        <w:t xml:space="preserve"> </w:t>
      </w:r>
    </w:p>
    <w:p w:rsidR="00494733" w:rsidRDefault="00693FDB">
      <w:pPr>
        <w:pStyle w:val="4"/>
        <w:spacing w:line="560" w:lineRule="exact"/>
        <w:ind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药代动力学相互作用</w:t>
      </w:r>
    </w:p>
    <w:p w:rsidR="00494733" w:rsidRDefault="00693FDB">
      <w:pPr>
        <w:pStyle w:val="4"/>
        <w:spacing w:line="560" w:lineRule="exact"/>
        <w:ind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导致吡拉西坦药代动力学变化的药物相互作用潜力预计很低，因为约</w:t>
      </w:r>
      <w:r>
        <w:rPr>
          <w:rFonts w:ascii="Times New Roman" w:eastAsia="仿宋_GB2312" w:hAnsi="Times New Roman"/>
          <w:bCs/>
          <w:sz w:val="32"/>
          <w:szCs w:val="32"/>
        </w:rPr>
        <w:t>90%</w:t>
      </w:r>
      <w:r>
        <w:rPr>
          <w:rFonts w:ascii="Times New Roman" w:eastAsia="仿宋_GB2312" w:hAnsi="Times New Roman"/>
          <w:bCs/>
          <w:sz w:val="32"/>
          <w:szCs w:val="32"/>
        </w:rPr>
        <w:t>剂量的吡拉西坦在尿中以原型药物形式排泄。在体外，在</w:t>
      </w:r>
      <w:r>
        <w:rPr>
          <w:rFonts w:ascii="Times New Roman" w:eastAsia="仿宋_GB2312" w:hAnsi="Times New Roman"/>
          <w:bCs/>
          <w:sz w:val="32"/>
          <w:szCs w:val="32"/>
        </w:rPr>
        <w:t>142</w:t>
      </w:r>
      <w:r>
        <w:rPr>
          <w:rFonts w:ascii="Times New Roman" w:eastAsia="仿宋_GB2312" w:hAnsi="Times New Roman"/>
          <w:bCs/>
          <w:sz w:val="32"/>
          <w:szCs w:val="32"/>
        </w:rPr>
        <w:t>、</w:t>
      </w:r>
      <w:r>
        <w:rPr>
          <w:rFonts w:ascii="Times New Roman" w:eastAsia="仿宋_GB2312" w:hAnsi="Times New Roman"/>
          <w:bCs/>
          <w:sz w:val="32"/>
          <w:szCs w:val="32"/>
        </w:rPr>
        <w:t>426</w:t>
      </w:r>
      <w:r>
        <w:rPr>
          <w:rFonts w:ascii="Times New Roman" w:eastAsia="仿宋_GB2312" w:hAnsi="Times New Roman"/>
          <w:bCs/>
          <w:sz w:val="32"/>
          <w:szCs w:val="32"/>
        </w:rPr>
        <w:t>和</w:t>
      </w:r>
      <w:r>
        <w:rPr>
          <w:rFonts w:ascii="Times New Roman" w:eastAsia="仿宋_GB2312" w:hAnsi="Times New Roman"/>
          <w:bCs/>
          <w:sz w:val="32"/>
          <w:szCs w:val="32"/>
        </w:rPr>
        <w:t>1422μg/ml</w:t>
      </w:r>
      <w:r>
        <w:rPr>
          <w:rFonts w:ascii="Times New Roman" w:eastAsia="仿宋_GB2312" w:hAnsi="Times New Roman"/>
          <w:bCs/>
          <w:sz w:val="32"/>
          <w:szCs w:val="32"/>
        </w:rPr>
        <w:t>的浓度下，吡拉西坦不会抑制人体肝脏细胞色素</w:t>
      </w:r>
      <w:r>
        <w:rPr>
          <w:rFonts w:ascii="Times New Roman" w:eastAsia="仿宋_GB2312" w:hAnsi="Times New Roman"/>
          <w:bCs/>
          <w:sz w:val="32"/>
          <w:szCs w:val="32"/>
        </w:rPr>
        <w:t>P450</w:t>
      </w:r>
      <w:r>
        <w:rPr>
          <w:rFonts w:ascii="Times New Roman" w:eastAsia="仿宋_GB2312" w:hAnsi="Times New Roman"/>
          <w:bCs/>
          <w:sz w:val="32"/>
          <w:szCs w:val="32"/>
        </w:rPr>
        <w:t>亚型如</w:t>
      </w:r>
      <w:r>
        <w:rPr>
          <w:rFonts w:ascii="Times New Roman" w:eastAsia="仿宋_GB2312" w:hAnsi="Times New Roman"/>
          <w:bCs/>
          <w:sz w:val="32"/>
          <w:szCs w:val="32"/>
        </w:rPr>
        <w:t>CYP1A2</w:t>
      </w:r>
      <w:r>
        <w:rPr>
          <w:rFonts w:ascii="Times New Roman" w:eastAsia="仿宋_GB2312" w:hAnsi="Times New Roman"/>
          <w:bCs/>
          <w:sz w:val="32"/>
          <w:szCs w:val="32"/>
        </w:rPr>
        <w:t>，</w:t>
      </w:r>
      <w:r>
        <w:rPr>
          <w:rFonts w:ascii="Times New Roman" w:eastAsia="仿宋_GB2312" w:hAnsi="Times New Roman"/>
          <w:bCs/>
          <w:sz w:val="32"/>
          <w:szCs w:val="32"/>
        </w:rPr>
        <w:t>2B6,2C8,2C9,2C19,2D6,2E1</w:t>
      </w:r>
      <w:r>
        <w:rPr>
          <w:rFonts w:ascii="Times New Roman" w:eastAsia="仿宋_GB2312" w:hAnsi="Times New Roman"/>
          <w:bCs/>
          <w:sz w:val="32"/>
          <w:szCs w:val="32"/>
        </w:rPr>
        <w:t>和</w:t>
      </w:r>
      <w:r>
        <w:rPr>
          <w:rFonts w:ascii="Times New Roman" w:eastAsia="仿宋_GB2312" w:hAnsi="Times New Roman"/>
          <w:bCs/>
          <w:sz w:val="32"/>
          <w:szCs w:val="32"/>
        </w:rPr>
        <w:t>4A9/11</w:t>
      </w:r>
      <w:r>
        <w:rPr>
          <w:rFonts w:ascii="Times New Roman" w:eastAsia="仿宋_GB2312" w:hAnsi="Times New Roman"/>
          <w:bCs/>
          <w:sz w:val="32"/>
          <w:szCs w:val="32"/>
        </w:rPr>
        <w:t>。浓度为</w:t>
      </w:r>
      <w:r>
        <w:rPr>
          <w:rFonts w:ascii="Times New Roman" w:eastAsia="仿宋_GB2312" w:hAnsi="Times New Roman"/>
          <w:bCs/>
          <w:sz w:val="32"/>
          <w:szCs w:val="32"/>
        </w:rPr>
        <w:t>1422μg/ml</w:t>
      </w:r>
      <w:r>
        <w:rPr>
          <w:rFonts w:ascii="Times New Roman" w:eastAsia="仿宋_GB2312" w:hAnsi="Times New Roman"/>
          <w:bCs/>
          <w:sz w:val="32"/>
          <w:szCs w:val="32"/>
        </w:rPr>
        <w:t>时，观察到轻微抑制</w:t>
      </w:r>
      <w:r>
        <w:rPr>
          <w:rFonts w:ascii="Times New Roman" w:eastAsia="仿宋_GB2312" w:hAnsi="Times New Roman"/>
          <w:bCs/>
          <w:sz w:val="32"/>
          <w:szCs w:val="32"/>
        </w:rPr>
        <w:t>CYP2A6</w:t>
      </w:r>
      <w:r>
        <w:rPr>
          <w:rFonts w:ascii="Times New Roman" w:eastAsia="仿宋_GB2312" w:hAnsi="Times New Roman"/>
          <w:bCs/>
          <w:sz w:val="32"/>
          <w:szCs w:val="32"/>
          <w:lang w:val="en"/>
        </w:rPr>
        <w:t>（</w:t>
      </w:r>
      <w:r>
        <w:rPr>
          <w:rFonts w:ascii="Times New Roman" w:eastAsia="仿宋_GB2312" w:hAnsi="Times New Roman"/>
          <w:bCs/>
          <w:sz w:val="32"/>
          <w:szCs w:val="32"/>
        </w:rPr>
        <w:t>21%</w:t>
      </w:r>
      <w:r>
        <w:rPr>
          <w:rFonts w:ascii="Times New Roman" w:eastAsia="仿宋_GB2312" w:hAnsi="Times New Roman"/>
          <w:bCs/>
          <w:sz w:val="32"/>
          <w:szCs w:val="32"/>
          <w:lang w:val="en"/>
        </w:rPr>
        <w:t>）</w:t>
      </w:r>
      <w:r>
        <w:rPr>
          <w:rFonts w:ascii="Times New Roman" w:eastAsia="仿宋_GB2312" w:hAnsi="Times New Roman"/>
          <w:bCs/>
          <w:sz w:val="32"/>
          <w:szCs w:val="32"/>
        </w:rPr>
        <w:t>和</w:t>
      </w:r>
      <w:r>
        <w:rPr>
          <w:rFonts w:ascii="Times New Roman" w:eastAsia="仿宋_GB2312" w:hAnsi="Times New Roman"/>
          <w:bCs/>
          <w:sz w:val="32"/>
          <w:szCs w:val="32"/>
        </w:rPr>
        <w:t>3A4/5</w:t>
      </w:r>
      <w:r>
        <w:rPr>
          <w:rFonts w:ascii="Times New Roman" w:eastAsia="仿宋_GB2312" w:hAnsi="Times New Roman"/>
          <w:bCs/>
          <w:sz w:val="32"/>
          <w:szCs w:val="32"/>
          <w:lang w:val="en"/>
        </w:rPr>
        <w:t>（</w:t>
      </w:r>
      <w:r>
        <w:rPr>
          <w:rFonts w:ascii="Times New Roman" w:eastAsia="仿宋_GB2312" w:hAnsi="Times New Roman"/>
          <w:bCs/>
          <w:sz w:val="32"/>
          <w:szCs w:val="32"/>
        </w:rPr>
        <w:t>11%</w:t>
      </w:r>
      <w:r>
        <w:rPr>
          <w:rFonts w:ascii="Times New Roman" w:eastAsia="仿宋_GB2312" w:hAnsi="Times New Roman"/>
          <w:bCs/>
          <w:sz w:val="32"/>
          <w:szCs w:val="32"/>
          <w:lang w:val="en"/>
        </w:rPr>
        <w:t>）</w:t>
      </w:r>
      <w:r>
        <w:rPr>
          <w:rFonts w:ascii="Times New Roman" w:eastAsia="仿宋_GB2312" w:hAnsi="Times New Roman"/>
          <w:bCs/>
          <w:sz w:val="32"/>
          <w:szCs w:val="32"/>
        </w:rPr>
        <w:t>的作用。然而这两种</w:t>
      </w:r>
      <w:r>
        <w:rPr>
          <w:rFonts w:ascii="Times New Roman" w:eastAsia="仿宋_GB2312" w:hAnsi="Times New Roman"/>
          <w:bCs/>
          <w:sz w:val="32"/>
          <w:szCs w:val="32"/>
        </w:rPr>
        <w:t>CYP</w:t>
      </w:r>
      <w:r>
        <w:rPr>
          <w:rFonts w:ascii="Times New Roman" w:eastAsia="仿宋_GB2312" w:hAnsi="Times New Roman"/>
          <w:bCs/>
          <w:sz w:val="32"/>
          <w:szCs w:val="32"/>
        </w:rPr>
        <w:t>亚型的抑制作用</w:t>
      </w:r>
      <w:r>
        <w:rPr>
          <w:rFonts w:ascii="Times New Roman" w:eastAsia="仿宋_GB2312" w:hAnsi="Times New Roman"/>
          <w:bCs/>
          <w:sz w:val="32"/>
          <w:szCs w:val="32"/>
        </w:rPr>
        <w:t>Ki</w:t>
      </w:r>
      <w:r>
        <w:rPr>
          <w:rFonts w:ascii="Times New Roman" w:eastAsia="仿宋_GB2312" w:hAnsi="Times New Roman"/>
          <w:bCs/>
          <w:sz w:val="32"/>
          <w:szCs w:val="32"/>
        </w:rPr>
        <w:t>值可能远超过</w:t>
      </w:r>
      <w:r>
        <w:rPr>
          <w:rFonts w:ascii="Times New Roman" w:eastAsia="仿宋_GB2312" w:hAnsi="Times New Roman"/>
          <w:bCs/>
          <w:sz w:val="32"/>
          <w:szCs w:val="32"/>
        </w:rPr>
        <w:t>1422μg/ml</w:t>
      </w:r>
      <w:r>
        <w:rPr>
          <w:rFonts w:ascii="Times New Roman" w:eastAsia="仿宋_GB2312" w:hAnsi="Times New Roman"/>
          <w:bCs/>
          <w:sz w:val="32"/>
          <w:szCs w:val="32"/>
        </w:rPr>
        <w:t>。因此，预计不会出现吡拉西坦与其它药物之间的代谢相互作用。</w:t>
      </w:r>
    </w:p>
    <w:p w:rsidR="00494733" w:rsidRDefault="00693FDB">
      <w:pPr>
        <w:pStyle w:val="4"/>
        <w:spacing w:line="560" w:lineRule="exact"/>
        <w:ind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甲状腺激素</w:t>
      </w:r>
    </w:p>
    <w:p w:rsidR="00494733" w:rsidRDefault="00693FDB">
      <w:pPr>
        <w:pStyle w:val="4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与甲状腺激素</w:t>
      </w:r>
      <w:r>
        <w:rPr>
          <w:rFonts w:ascii="Times New Roman" w:eastAsia="仿宋_GB2312" w:hAnsi="Times New Roman"/>
          <w:bCs/>
          <w:sz w:val="32"/>
          <w:szCs w:val="32"/>
          <w:lang w:val="en"/>
        </w:rPr>
        <w:t>（</w:t>
      </w:r>
      <w:r>
        <w:rPr>
          <w:rFonts w:ascii="Times New Roman" w:eastAsia="仿宋_GB2312" w:hAnsi="Times New Roman"/>
          <w:bCs/>
          <w:sz w:val="32"/>
          <w:szCs w:val="32"/>
        </w:rPr>
        <w:t>T3+T4</w:t>
      </w:r>
      <w:r>
        <w:rPr>
          <w:rFonts w:ascii="Times New Roman" w:eastAsia="仿宋_GB2312" w:hAnsi="Times New Roman"/>
          <w:bCs/>
          <w:sz w:val="32"/>
          <w:szCs w:val="32"/>
          <w:lang w:val="en"/>
        </w:rPr>
        <w:t>）</w:t>
      </w:r>
      <w:r>
        <w:rPr>
          <w:rFonts w:ascii="Times New Roman" w:eastAsia="仿宋_GB2312" w:hAnsi="Times New Roman"/>
          <w:bCs/>
          <w:sz w:val="32"/>
          <w:szCs w:val="32"/>
        </w:rPr>
        <w:t>合并治疗会引起意识模糊，易怒和睡眠障碍。</w:t>
      </w:r>
    </w:p>
    <w:p w:rsidR="00494733" w:rsidRDefault="00693FDB">
      <w:pPr>
        <w:pStyle w:val="4"/>
        <w:spacing w:line="560" w:lineRule="exact"/>
        <w:ind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醋</w:t>
      </w:r>
      <w:r w:rsidR="00175EAB">
        <w:rPr>
          <w:rFonts w:ascii="Times New Roman" w:eastAsia="仿宋_GB2312" w:hAnsi="Times New Roman" w:hint="eastAsia"/>
          <w:b/>
          <w:sz w:val="32"/>
          <w:szCs w:val="32"/>
        </w:rPr>
        <w:t>硝</w:t>
      </w:r>
      <w:r>
        <w:rPr>
          <w:rFonts w:ascii="Times New Roman" w:eastAsia="仿宋_GB2312" w:hAnsi="Times New Roman"/>
          <w:b/>
          <w:sz w:val="32"/>
          <w:szCs w:val="32"/>
        </w:rPr>
        <w:t>香豆</w:t>
      </w:r>
      <w:r w:rsidR="00175EAB">
        <w:rPr>
          <w:rFonts w:ascii="Times New Roman" w:eastAsia="仿宋_GB2312" w:hAnsi="Times New Roman" w:hint="eastAsia"/>
          <w:b/>
          <w:sz w:val="32"/>
          <w:szCs w:val="32"/>
        </w:rPr>
        <w:t>素</w:t>
      </w:r>
    </w:p>
    <w:p w:rsidR="00494733" w:rsidRDefault="00693FDB">
      <w:pPr>
        <w:pStyle w:val="4"/>
        <w:spacing w:line="560" w:lineRule="exact"/>
        <w:ind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在一项已发表的关于严重复发性静脉血栓形成患者的单盲</w:t>
      </w:r>
      <w:r>
        <w:rPr>
          <w:rFonts w:ascii="Times New Roman" w:eastAsia="仿宋_GB2312" w:hAnsi="Times New Roman"/>
          <w:bCs/>
          <w:sz w:val="32"/>
          <w:szCs w:val="32"/>
        </w:rPr>
        <w:lastRenderedPageBreak/>
        <w:t>研究中</w:t>
      </w:r>
      <w:r>
        <w:rPr>
          <w:rFonts w:ascii="Times New Roman" w:eastAsia="仿宋_GB2312" w:hAnsi="Times New Roman"/>
          <w:bCs/>
          <w:sz w:val="32"/>
          <w:szCs w:val="32"/>
        </w:rPr>
        <w:t>,9.6g/d</w:t>
      </w:r>
      <w:r>
        <w:rPr>
          <w:rFonts w:ascii="Times New Roman" w:eastAsia="仿宋_GB2312" w:hAnsi="Times New Roman"/>
          <w:bCs/>
          <w:sz w:val="32"/>
          <w:szCs w:val="32"/>
        </w:rPr>
        <w:t>的吡拉西坦不会改变达到</w:t>
      </w:r>
      <w:r>
        <w:rPr>
          <w:rFonts w:ascii="Times New Roman" w:eastAsia="仿宋_GB2312" w:hAnsi="Times New Roman"/>
          <w:bCs/>
          <w:sz w:val="32"/>
          <w:szCs w:val="32"/>
        </w:rPr>
        <w:t>2.5-3.5INR</w:t>
      </w:r>
      <w:r>
        <w:rPr>
          <w:rFonts w:ascii="Times New Roman" w:eastAsia="仿宋_GB2312" w:hAnsi="Times New Roman"/>
          <w:bCs/>
          <w:sz w:val="32"/>
          <w:szCs w:val="32"/>
          <w:lang w:val="en"/>
        </w:rPr>
        <w:t>（</w:t>
      </w:r>
      <w:r>
        <w:rPr>
          <w:rFonts w:ascii="Times New Roman" w:eastAsia="仿宋_GB2312" w:hAnsi="Times New Roman"/>
          <w:bCs/>
          <w:sz w:val="32"/>
          <w:szCs w:val="32"/>
        </w:rPr>
        <w:t>国际标准化比值</w:t>
      </w:r>
      <w:r>
        <w:rPr>
          <w:rFonts w:ascii="Times New Roman" w:eastAsia="仿宋_GB2312" w:hAnsi="Times New Roman"/>
          <w:bCs/>
          <w:sz w:val="32"/>
          <w:szCs w:val="32"/>
          <w:lang w:val="en"/>
        </w:rPr>
        <w:t>）</w:t>
      </w:r>
      <w:r>
        <w:rPr>
          <w:rFonts w:ascii="Times New Roman" w:eastAsia="仿宋_GB2312" w:hAnsi="Times New Roman"/>
          <w:bCs/>
          <w:sz w:val="32"/>
          <w:szCs w:val="32"/>
        </w:rPr>
        <w:t>所需的醋</w:t>
      </w:r>
      <w:r w:rsidR="00175EAB">
        <w:rPr>
          <w:rFonts w:ascii="Times New Roman" w:eastAsia="仿宋_GB2312" w:hAnsi="Times New Roman" w:hint="eastAsia"/>
          <w:bCs/>
          <w:sz w:val="32"/>
          <w:szCs w:val="32"/>
        </w:rPr>
        <w:t>硝</w:t>
      </w:r>
      <w:r>
        <w:rPr>
          <w:rFonts w:ascii="Times New Roman" w:eastAsia="仿宋_GB2312" w:hAnsi="Times New Roman"/>
          <w:bCs/>
          <w:sz w:val="32"/>
          <w:szCs w:val="32"/>
        </w:rPr>
        <w:t>香豆</w:t>
      </w:r>
      <w:r w:rsidR="00175EAB">
        <w:rPr>
          <w:rFonts w:ascii="Times New Roman" w:eastAsia="仿宋_GB2312" w:hAnsi="Times New Roman" w:hint="eastAsia"/>
          <w:bCs/>
          <w:sz w:val="32"/>
          <w:szCs w:val="32"/>
        </w:rPr>
        <w:t>素</w:t>
      </w:r>
      <w:r>
        <w:rPr>
          <w:rFonts w:ascii="Times New Roman" w:eastAsia="仿宋_GB2312" w:hAnsi="Times New Roman"/>
          <w:bCs/>
          <w:sz w:val="32"/>
          <w:szCs w:val="32"/>
        </w:rPr>
        <w:t>剂量</w:t>
      </w:r>
      <w:r>
        <w:rPr>
          <w:rFonts w:ascii="Times New Roman" w:eastAsia="仿宋_GB2312" w:hAnsi="Times New Roman"/>
          <w:bCs/>
          <w:sz w:val="32"/>
          <w:szCs w:val="32"/>
        </w:rPr>
        <w:t>,</w:t>
      </w:r>
      <w:r>
        <w:rPr>
          <w:rFonts w:ascii="Times New Roman" w:eastAsia="仿宋_GB2312" w:hAnsi="Times New Roman"/>
          <w:bCs/>
          <w:sz w:val="32"/>
          <w:szCs w:val="32"/>
        </w:rPr>
        <w:t>但与单用醋</w:t>
      </w:r>
      <w:r w:rsidR="00175EAB">
        <w:rPr>
          <w:rFonts w:ascii="Times New Roman" w:eastAsia="仿宋_GB2312" w:hAnsi="Times New Roman" w:hint="eastAsia"/>
          <w:bCs/>
          <w:sz w:val="32"/>
          <w:szCs w:val="32"/>
        </w:rPr>
        <w:t>硝</w:t>
      </w:r>
      <w:r>
        <w:rPr>
          <w:rFonts w:ascii="Times New Roman" w:eastAsia="仿宋_GB2312" w:hAnsi="Times New Roman"/>
          <w:bCs/>
          <w:sz w:val="32"/>
          <w:szCs w:val="32"/>
        </w:rPr>
        <w:t>香豆</w:t>
      </w:r>
      <w:r w:rsidR="00175EAB">
        <w:rPr>
          <w:rFonts w:ascii="Times New Roman" w:eastAsia="仿宋_GB2312" w:hAnsi="Times New Roman" w:hint="eastAsia"/>
          <w:bCs/>
          <w:sz w:val="32"/>
          <w:szCs w:val="32"/>
        </w:rPr>
        <w:t>素</w:t>
      </w:r>
      <w:bookmarkStart w:id="0" w:name="_GoBack"/>
      <w:bookmarkEnd w:id="0"/>
      <w:r>
        <w:rPr>
          <w:rFonts w:ascii="Times New Roman" w:eastAsia="仿宋_GB2312" w:hAnsi="Times New Roman"/>
          <w:bCs/>
          <w:sz w:val="32"/>
          <w:szCs w:val="32"/>
        </w:rPr>
        <w:t>的作用相比，加入</w:t>
      </w:r>
      <w:r>
        <w:rPr>
          <w:rFonts w:ascii="Times New Roman" w:eastAsia="仿宋_GB2312" w:hAnsi="Times New Roman"/>
          <w:bCs/>
          <w:sz w:val="32"/>
          <w:szCs w:val="32"/>
        </w:rPr>
        <w:t>9.5g/d</w:t>
      </w:r>
      <w:r>
        <w:rPr>
          <w:rFonts w:ascii="Times New Roman" w:eastAsia="仿宋_GB2312" w:hAnsi="Times New Roman"/>
          <w:bCs/>
          <w:sz w:val="32"/>
          <w:szCs w:val="32"/>
        </w:rPr>
        <w:t>吡拉西坦能显著减少血小板聚集，减少</w:t>
      </w:r>
      <w:r>
        <w:rPr>
          <w:rFonts w:ascii="Times New Roman" w:eastAsia="仿宋_GB2312" w:hAnsi="Times New Roman"/>
          <w:bCs/>
          <w:sz w:val="32"/>
          <w:szCs w:val="32"/>
        </w:rPr>
        <w:t>β-</w:t>
      </w:r>
      <w:r>
        <w:rPr>
          <w:rFonts w:ascii="Times New Roman" w:eastAsia="仿宋_GB2312" w:hAnsi="Times New Roman"/>
          <w:bCs/>
          <w:sz w:val="32"/>
          <w:szCs w:val="32"/>
        </w:rPr>
        <w:t>血小板球蛋白释放，降低纤维蛋白原水平和血管性假血友病因子</w:t>
      </w:r>
      <w:r>
        <w:rPr>
          <w:rFonts w:ascii="Times New Roman" w:eastAsia="仿宋_GB2312" w:hAnsi="Times New Roman"/>
          <w:bCs/>
          <w:sz w:val="32"/>
          <w:szCs w:val="32"/>
          <w:lang w:val="en"/>
        </w:rPr>
        <w:t>（</w:t>
      </w:r>
      <w:r>
        <w:rPr>
          <w:rFonts w:ascii="Times New Roman" w:eastAsia="仿宋_GB2312" w:hAnsi="Times New Roman"/>
          <w:bCs/>
          <w:sz w:val="32"/>
          <w:szCs w:val="32"/>
        </w:rPr>
        <w:t>Ⅷ</w:t>
      </w:r>
      <w:r>
        <w:rPr>
          <w:rFonts w:ascii="Times New Roman" w:eastAsia="仿宋_GB2312" w:hAnsi="Times New Roman"/>
          <w:bCs/>
          <w:sz w:val="32"/>
          <w:szCs w:val="32"/>
        </w:rPr>
        <w:t>：</w:t>
      </w:r>
      <w:r>
        <w:rPr>
          <w:rFonts w:ascii="Times New Roman" w:eastAsia="仿宋_GB2312" w:hAnsi="Times New Roman"/>
          <w:bCs/>
          <w:sz w:val="32"/>
          <w:szCs w:val="32"/>
        </w:rPr>
        <w:t>C</w:t>
      </w:r>
      <w:r>
        <w:rPr>
          <w:rFonts w:ascii="Times New Roman" w:eastAsia="仿宋_GB2312" w:hAnsi="Times New Roman"/>
          <w:bCs/>
          <w:sz w:val="32"/>
          <w:szCs w:val="32"/>
        </w:rPr>
        <w:t>；</w:t>
      </w:r>
      <w:r>
        <w:rPr>
          <w:rFonts w:ascii="Times New Roman" w:eastAsia="仿宋_GB2312" w:hAnsi="Times New Roman"/>
          <w:bCs/>
          <w:sz w:val="32"/>
          <w:szCs w:val="32"/>
        </w:rPr>
        <w:t>Ⅷ</w:t>
      </w:r>
      <w:r>
        <w:rPr>
          <w:rFonts w:ascii="Times New Roman" w:eastAsia="仿宋_GB2312" w:hAnsi="Times New Roman"/>
          <w:bCs/>
          <w:sz w:val="32"/>
          <w:szCs w:val="32"/>
        </w:rPr>
        <w:t>：</w:t>
      </w:r>
      <w:r>
        <w:rPr>
          <w:rFonts w:ascii="Times New Roman" w:eastAsia="仿宋_GB2312" w:hAnsi="Times New Roman"/>
          <w:bCs/>
          <w:sz w:val="32"/>
          <w:szCs w:val="32"/>
        </w:rPr>
        <w:t>vW</w:t>
      </w:r>
      <w:r>
        <w:rPr>
          <w:rFonts w:ascii="Times New Roman" w:eastAsia="仿宋_GB2312" w:hAnsi="Times New Roman"/>
          <w:bCs/>
          <w:sz w:val="32"/>
          <w:szCs w:val="32"/>
        </w:rPr>
        <w:t>：</w:t>
      </w:r>
      <w:r>
        <w:rPr>
          <w:rFonts w:ascii="Times New Roman" w:eastAsia="仿宋_GB2312" w:hAnsi="Times New Roman"/>
          <w:bCs/>
          <w:sz w:val="32"/>
          <w:szCs w:val="32"/>
        </w:rPr>
        <w:t>Ag</w:t>
      </w:r>
      <w:r>
        <w:rPr>
          <w:rFonts w:ascii="Times New Roman" w:eastAsia="仿宋_GB2312" w:hAnsi="Times New Roman"/>
          <w:bCs/>
          <w:sz w:val="32"/>
          <w:szCs w:val="32"/>
        </w:rPr>
        <w:t>；</w:t>
      </w:r>
      <w:r>
        <w:rPr>
          <w:rFonts w:ascii="Times New Roman" w:eastAsia="仿宋_GB2312" w:hAnsi="Times New Roman"/>
          <w:bCs/>
          <w:sz w:val="32"/>
          <w:szCs w:val="32"/>
        </w:rPr>
        <w:t>Ⅷ</w:t>
      </w:r>
      <w:r>
        <w:rPr>
          <w:rFonts w:ascii="Times New Roman" w:eastAsia="仿宋_GB2312" w:hAnsi="Times New Roman"/>
          <w:bCs/>
          <w:sz w:val="32"/>
          <w:szCs w:val="32"/>
        </w:rPr>
        <w:t>：</w:t>
      </w:r>
      <w:r>
        <w:rPr>
          <w:rFonts w:ascii="Times New Roman" w:eastAsia="仿宋_GB2312" w:hAnsi="Times New Roman"/>
          <w:bCs/>
          <w:sz w:val="32"/>
          <w:szCs w:val="32"/>
        </w:rPr>
        <w:t>vW</w:t>
      </w:r>
      <w:r>
        <w:rPr>
          <w:rFonts w:ascii="Times New Roman" w:eastAsia="仿宋_GB2312" w:hAnsi="Times New Roman"/>
          <w:bCs/>
          <w:sz w:val="32"/>
          <w:szCs w:val="32"/>
        </w:rPr>
        <w:t>：</w:t>
      </w:r>
      <w:r>
        <w:rPr>
          <w:rFonts w:ascii="Times New Roman" w:eastAsia="仿宋_GB2312" w:hAnsi="Times New Roman"/>
          <w:bCs/>
          <w:sz w:val="32"/>
          <w:szCs w:val="32"/>
        </w:rPr>
        <w:t>RCo</w:t>
      </w:r>
      <w:r>
        <w:rPr>
          <w:rFonts w:ascii="Times New Roman" w:eastAsia="仿宋_GB2312" w:hAnsi="Times New Roman"/>
          <w:bCs/>
          <w:sz w:val="32"/>
          <w:szCs w:val="32"/>
          <w:lang w:val="en"/>
        </w:rPr>
        <w:t>）</w:t>
      </w:r>
      <w:r>
        <w:rPr>
          <w:rFonts w:ascii="Times New Roman" w:eastAsia="仿宋_GB2312" w:hAnsi="Times New Roman"/>
          <w:bCs/>
          <w:sz w:val="32"/>
          <w:szCs w:val="32"/>
        </w:rPr>
        <w:t>,</w:t>
      </w:r>
      <w:r>
        <w:rPr>
          <w:rFonts w:ascii="Times New Roman" w:eastAsia="仿宋_GB2312" w:hAnsi="Times New Roman"/>
          <w:bCs/>
          <w:sz w:val="32"/>
          <w:szCs w:val="32"/>
        </w:rPr>
        <w:t>降低血液和血浆的总粘度。</w:t>
      </w:r>
    </w:p>
    <w:p w:rsidR="00494733" w:rsidRDefault="00693FDB">
      <w:pPr>
        <w:pStyle w:val="4"/>
        <w:spacing w:line="560" w:lineRule="exact"/>
        <w:ind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在接受抗凝治疗的患者中，同时应用吡拉西坦时应特别注意凝血时间、防止出血危险，并调整抗凝治疗的药物剂量和用法。</w:t>
      </w:r>
    </w:p>
    <w:p w:rsidR="00494733" w:rsidRDefault="00693FDB">
      <w:pPr>
        <w:pStyle w:val="4"/>
        <w:spacing w:line="560" w:lineRule="exact"/>
        <w:ind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抗癫痫药</w:t>
      </w:r>
    </w:p>
    <w:p w:rsidR="00494733" w:rsidRDefault="00693FDB">
      <w:pPr>
        <w:pStyle w:val="4"/>
        <w:spacing w:line="560" w:lineRule="exact"/>
        <w:ind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在接受稳定剂量的癫痫患者中，</w:t>
      </w:r>
      <w:r>
        <w:rPr>
          <w:rFonts w:ascii="Times New Roman" w:eastAsia="仿宋_GB2312" w:hAnsi="Times New Roman"/>
          <w:bCs/>
          <w:sz w:val="32"/>
          <w:szCs w:val="32"/>
        </w:rPr>
        <w:t>4</w:t>
      </w:r>
      <w:r>
        <w:rPr>
          <w:rFonts w:ascii="Times New Roman" w:eastAsia="仿宋_GB2312" w:hAnsi="Times New Roman"/>
          <w:bCs/>
          <w:sz w:val="32"/>
          <w:szCs w:val="32"/>
        </w:rPr>
        <w:t>周内每日</w:t>
      </w:r>
      <w:r>
        <w:rPr>
          <w:rFonts w:ascii="Times New Roman" w:eastAsia="仿宋_GB2312" w:hAnsi="Times New Roman"/>
          <w:bCs/>
          <w:sz w:val="32"/>
          <w:szCs w:val="32"/>
        </w:rPr>
        <w:t>20</w:t>
      </w:r>
      <w:r>
        <w:rPr>
          <w:rFonts w:ascii="Times New Roman" w:eastAsia="仿宋_GB2312" w:hAnsi="Times New Roman"/>
          <w:bCs/>
          <w:sz w:val="32"/>
          <w:szCs w:val="32"/>
        </w:rPr>
        <w:t>克的吡拉西坦剂量不会改变抗癫痫药物</w:t>
      </w:r>
      <w:r>
        <w:rPr>
          <w:rFonts w:ascii="Times New Roman" w:eastAsia="仿宋_GB2312" w:hAnsi="Times New Roman"/>
          <w:bCs/>
          <w:sz w:val="32"/>
          <w:szCs w:val="32"/>
          <w:lang w:val="en"/>
        </w:rPr>
        <w:t>（</w:t>
      </w:r>
      <w:r>
        <w:rPr>
          <w:rFonts w:ascii="Times New Roman" w:eastAsia="仿宋_GB2312" w:hAnsi="Times New Roman"/>
          <w:bCs/>
          <w:sz w:val="32"/>
          <w:szCs w:val="32"/>
        </w:rPr>
        <w:t>卡马西平，苯妥英钠</w:t>
      </w:r>
      <w:r>
        <w:rPr>
          <w:rFonts w:ascii="Times New Roman" w:eastAsia="仿宋_GB2312" w:hAnsi="Times New Roman"/>
          <w:bCs/>
          <w:sz w:val="32"/>
          <w:szCs w:val="32"/>
        </w:rPr>
        <w:t>,</w:t>
      </w:r>
      <w:r>
        <w:rPr>
          <w:rFonts w:ascii="Times New Roman" w:eastAsia="仿宋_GB2312" w:hAnsi="Times New Roman"/>
          <w:bCs/>
          <w:sz w:val="32"/>
          <w:szCs w:val="32"/>
        </w:rPr>
        <w:t>苯巴比妥，丙戊酸钠</w:t>
      </w:r>
      <w:r>
        <w:rPr>
          <w:rFonts w:ascii="Times New Roman" w:eastAsia="仿宋_GB2312" w:hAnsi="Times New Roman"/>
          <w:bCs/>
          <w:sz w:val="32"/>
          <w:szCs w:val="32"/>
          <w:lang w:val="en"/>
        </w:rPr>
        <w:t>）</w:t>
      </w:r>
      <w:r>
        <w:rPr>
          <w:rFonts w:ascii="Times New Roman" w:eastAsia="仿宋_GB2312" w:hAnsi="Times New Roman"/>
          <w:bCs/>
          <w:sz w:val="32"/>
          <w:szCs w:val="32"/>
        </w:rPr>
        <w:t>的峰谷血清水平。</w:t>
      </w:r>
    </w:p>
    <w:p w:rsidR="00494733" w:rsidRDefault="00693FDB">
      <w:pPr>
        <w:spacing w:line="56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酒精</w:t>
      </w:r>
    </w:p>
    <w:p w:rsidR="00494733" w:rsidRDefault="00693FDB">
      <w:pPr>
        <w:spacing w:line="560" w:lineRule="exact"/>
        <w:ind w:firstLineChars="200" w:firstLine="640"/>
        <w:rPr>
          <w:rFonts w:ascii="Times New Roman" w:hAnsi="Times New Roman"/>
          <w:sz w:val="24"/>
        </w:rPr>
      </w:pPr>
      <w:r>
        <w:rPr>
          <w:rFonts w:ascii="Times New Roman" w:eastAsia="仿宋_GB2312" w:hAnsi="Times New Roman"/>
          <w:sz w:val="32"/>
          <w:szCs w:val="32"/>
        </w:rPr>
        <w:t>同时饮用酒精并未改变吡拉西坦的血清浓度，口服吡拉西坦</w:t>
      </w:r>
      <w:r>
        <w:rPr>
          <w:rFonts w:ascii="Times New Roman" w:eastAsia="仿宋_GB2312" w:hAnsi="Times New Roman"/>
          <w:sz w:val="32"/>
          <w:szCs w:val="32"/>
        </w:rPr>
        <w:t>1.6g</w:t>
      </w:r>
      <w:r>
        <w:rPr>
          <w:rFonts w:ascii="Times New Roman" w:eastAsia="仿宋_GB2312" w:hAnsi="Times New Roman"/>
          <w:sz w:val="32"/>
          <w:szCs w:val="32"/>
        </w:rPr>
        <w:t>后酒精浓度并未改变。</w:t>
      </w:r>
      <w:r>
        <w:rPr>
          <w:rFonts w:ascii="Times New Roman" w:hAnsi="Times New Roman"/>
          <w:sz w:val="24"/>
        </w:rPr>
        <w:t xml:space="preserve">  </w:t>
      </w:r>
    </w:p>
    <w:p w:rsidR="00693FDB" w:rsidRDefault="00693FDB" w:rsidP="00144CA5">
      <w:pPr>
        <w:tabs>
          <w:tab w:val="left" w:pos="675"/>
        </w:tabs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注：如原批准说明书的安全性内容较本修订要求内容更全面或更严格的，应保留原批准内容。说明书其他内容如与上述修订要求不一致的，应当一并进行修订。</w:t>
      </w:r>
      <w:r>
        <w:rPr>
          <w:rFonts w:ascii="Times New Roman" w:eastAsia="仿宋_GB2312" w:hAnsi="Times New Roman"/>
          <w:color w:val="000000"/>
          <w:sz w:val="32"/>
          <w:szCs w:val="32"/>
        </w:rPr>
        <w:t>）</w:t>
      </w:r>
    </w:p>
    <w:sectPr w:rsidR="00693FDB">
      <w:footerReference w:type="even" r:id="rId6"/>
      <w:footerReference w:type="default" r:id="rId7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740" w:rsidRDefault="00357740">
      <w:r>
        <w:separator/>
      </w:r>
    </w:p>
  </w:endnote>
  <w:endnote w:type="continuationSeparator" w:id="0">
    <w:p w:rsidR="00357740" w:rsidRDefault="0035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733" w:rsidRDefault="00693FDB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color w:val="FFFFFF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</w:p>
  <w:p w:rsidR="00494733" w:rsidRDefault="0049473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733" w:rsidRDefault="00130E3D">
    <w:pPr>
      <w:pStyle w:val="a3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9170" cy="230505"/>
              <wp:effectExtent l="0" t="254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4733" w:rsidRDefault="00693FDB">
                          <w:pPr>
                            <w:pStyle w:val="a3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75EAB" w:rsidRPr="00175EAB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5.9pt;margin-top:0;width:77.1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" filled="f" stroked="f">
              <v:textbox style="mso-fit-shape-to-text:t" inset="0,0,0,0">
                <w:txbxContent>
                  <w:p w:rsidR="00494733" w:rsidRDefault="00693FDB">
                    <w:pPr>
                      <w:pStyle w:val="a3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175EAB" w:rsidRPr="00175EAB">
                      <w:rPr>
                        <w:noProof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740" w:rsidRDefault="00357740">
      <w:r>
        <w:separator/>
      </w:r>
    </w:p>
  </w:footnote>
  <w:footnote w:type="continuationSeparator" w:id="0">
    <w:p w:rsidR="00357740" w:rsidRDefault="00357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12"/>
    <w:rsid w:val="DFFB8AB2"/>
    <w:rsid w:val="00130E3D"/>
    <w:rsid w:val="00144CA5"/>
    <w:rsid w:val="00175EAB"/>
    <w:rsid w:val="00357740"/>
    <w:rsid w:val="00494733"/>
    <w:rsid w:val="00693FDB"/>
    <w:rsid w:val="007B5F12"/>
    <w:rsid w:val="007D3334"/>
    <w:rsid w:val="3EAB0813"/>
    <w:rsid w:val="57F9A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E9355C-16DC-4AC9-8BC1-6839F472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customStyle="1" w:styleId="4">
    <w:name w:val="仿宋4号正文"/>
    <w:basedOn w:val="a"/>
    <w:qFormat/>
    <w:pPr>
      <w:spacing w:line="540" w:lineRule="exact"/>
      <w:ind w:firstLineChars="200" w:firstLine="560"/>
    </w:pPr>
    <w:rPr>
      <w:rFonts w:ascii="仿宋" w:eastAsia="仿宋" w:hAnsi="仿宋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pc</cp:lastModifiedBy>
  <cp:revision>2</cp:revision>
  <dcterms:created xsi:type="dcterms:W3CDTF">2023-06-09T07:17:00Z</dcterms:created>
  <dcterms:modified xsi:type="dcterms:W3CDTF">2023-06-09T07:17:00Z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