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2C0" w:rsidRDefault="007467FA">
      <w:pPr>
        <w:spacing w:line="500" w:lineRule="exact"/>
        <w:rPr>
          <w:rFonts w:ascii="黑体" w:eastAsia="黑体" w:hAnsi="黑体" w:cs="黑体"/>
          <w:sz w:val="32"/>
          <w:szCs w:val="32"/>
          <w:lang w:val="en"/>
        </w:rPr>
      </w:pPr>
      <w:r>
        <w:rPr>
          <w:rFonts w:ascii="黑体" w:eastAsia="黑体" w:hAnsi="黑体" w:cs="黑体" w:hint="eastAsia"/>
          <w:sz w:val="32"/>
          <w:szCs w:val="32"/>
          <w:lang w:val="en"/>
        </w:rPr>
        <w:t>附件1</w:t>
      </w:r>
    </w:p>
    <w:p w:rsidR="006A12C0" w:rsidRDefault="006A12C0">
      <w:pPr>
        <w:spacing w:line="500" w:lineRule="exact"/>
        <w:jc w:val="center"/>
        <w:rPr>
          <w:rFonts w:ascii="黑体" w:eastAsia="黑体" w:hAnsi="黑体" w:cs="黑体"/>
          <w:sz w:val="32"/>
          <w:szCs w:val="32"/>
          <w:lang w:val="en"/>
        </w:rPr>
      </w:pPr>
    </w:p>
    <w:p w:rsidR="006A12C0" w:rsidRDefault="007467FA">
      <w:pPr>
        <w:spacing w:line="500" w:lineRule="exact"/>
        <w:jc w:val="center"/>
        <w:rPr>
          <w:rFonts w:eastAsia="方正小标宋简体"/>
          <w:sz w:val="44"/>
          <w:szCs w:val="44"/>
        </w:rPr>
      </w:pPr>
      <w:r>
        <w:rPr>
          <w:rFonts w:eastAsia="方正小标宋简体"/>
          <w:sz w:val="44"/>
          <w:szCs w:val="44"/>
        </w:rPr>
        <w:t>医疗器械行业标准信息表</w:t>
      </w:r>
    </w:p>
    <w:p w:rsidR="006A12C0" w:rsidRDefault="006A12C0">
      <w:pPr>
        <w:spacing w:line="500" w:lineRule="exact"/>
        <w:jc w:val="center"/>
        <w:rPr>
          <w:rFonts w:eastAsia="方正小标宋简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1926"/>
        <w:gridCol w:w="1880"/>
        <w:gridCol w:w="955"/>
        <w:gridCol w:w="1738"/>
        <w:gridCol w:w="5195"/>
        <w:gridCol w:w="2108"/>
      </w:tblGrid>
      <w:tr w:rsidR="006A12C0">
        <w:trPr>
          <w:cantSplit/>
          <w:trHeight w:val="583"/>
          <w:tblHeader/>
          <w:jc w:val="center"/>
        </w:trPr>
        <w:tc>
          <w:tcPr>
            <w:tcW w:w="584" w:type="dxa"/>
            <w:tcMar>
              <w:top w:w="28" w:type="dxa"/>
              <w:left w:w="28" w:type="dxa"/>
              <w:bottom w:w="28" w:type="dxa"/>
              <w:right w:w="28" w:type="dxa"/>
            </w:tcMar>
            <w:vAlign w:val="center"/>
          </w:tcPr>
          <w:p w:rsidR="006A12C0" w:rsidRDefault="007467FA">
            <w:pPr>
              <w:adjustRightInd w:val="0"/>
              <w:snapToGrid w:val="0"/>
              <w:spacing w:line="260" w:lineRule="exact"/>
              <w:ind w:right="120"/>
              <w:jc w:val="center"/>
              <w:rPr>
                <w:rFonts w:eastAsia="黑体"/>
                <w:bCs/>
                <w:sz w:val="24"/>
              </w:rPr>
            </w:pPr>
            <w:r>
              <w:rPr>
                <w:rFonts w:eastAsia="黑体"/>
                <w:bCs/>
                <w:sz w:val="24"/>
              </w:rPr>
              <w:t>序号</w:t>
            </w:r>
          </w:p>
        </w:tc>
        <w:tc>
          <w:tcPr>
            <w:tcW w:w="1926" w:type="dxa"/>
            <w:tcMar>
              <w:top w:w="28" w:type="dxa"/>
              <w:left w:w="28" w:type="dxa"/>
              <w:bottom w:w="28" w:type="dxa"/>
              <w:right w:w="28" w:type="dxa"/>
            </w:tcMar>
            <w:vAlign w:val="center"/>
          </w:tcPr>
          <w:p w:rsidR="006A12C0" w:rsidRDefault="007467FA">
            <w:pPr>
              <w:adjustRightInd w:val="0"/>
              <w:snapToGrid w:val="0"/>
              <w:spacing w:line="260" w:lineRule="exact"/>
              <w:ind w:right="120"/>
              <w:jc w:val="center"/>
              <w:rPr>
                <w:rFonts w:eastAsia="黑体"/>
                <w:bCs/>
                <w:sz w:val="24"/>
              </w:rPr>
            </w:pPr>
            <w:r>
              <w:rPr>
                <w:rFonts w:eastAsia="黑体"/>
                <w:bCs/>
                <w:sz w:val="24"/>
              </w:rPr>
              <w:t>标准编号</w:t>
            </w:r>
          </w:p>
        </w:tc>
        <w:tc>
          <w:tcPr>
            <w:tcW w:w="1880" w:type="dxa"/>
            <w:tcMar>
              <w:top w:w="28" w:type="dxa"/>
              <w:left w:w="28" w:type="dxa"/>
              <w:bottom w:w="28" w:type="dxa"/>
              <w:right w:w="28" w:type="dxa"/>
            </w:tcMar>
            <w:vAlign w:val="center"/>
          </w:tcPr>
          <w:p w:rsidR="006A12C0" w:rsidRDefault="007467FA">
            <w:pPr>
              <w:adjustRightInd w:val="0"/>
              <w:snapToGrid w:val="0"/>
              <w:spacing w:line="260" w:lineRule="exact"/>
              <w:ind w:right="120"/>
              <w:jc w:val="center"/>
              <w:rPr>
                <w:rFonts w:eastAsia="黑体"/>
                <w:bCs/>
                <w:sz w:val="24"/>
              </w:rPr>
            </w:pPr>
            <w:r>
              <w:rPr>
                <w:rFonts w:eastAsia="黑体"/>
                <w:bCs/>
                <w:sz w:val="24"/>
              </w:rPr>
              <w:t>标准名称</w:t>
            </w:r>
          </w:p>
        </w:tc>
        <w:tc>
          <w:tcPr>
            <w:tcW w:w="955" w:type="dxa"/>
            <w:tcMar>
              <w:top w:w="28" w:type="dxa"/>
              <w:left w:w="28" w:type="dxa"/>
              <w:bottom w:w="28" w:type="dxa"/>
              <w:right w:w="28" w:type="dxa"/>
            </w:tcMar>
            <w:vAlign w:val="center"/>
          </w:tcPr>
          <w:p w:rsidR="006A12C0" w:rsidRDefault="007467FA">
            <w:pPr>
              <w:adjustRightInd w:val="0"/>
              <w:snapToGrid w:val="0"/>
              <w:spacing w:line="260" w:lineRule="exact"/>
              <w:ind w:right="120"/>
              <w:jc w:val="center"/>
              <w:rPr>
                <w:rFonts w:eastAsia="黑体"/>
                <w:bCs/>
                <w:sz w:val="24"/>
              </w:rPr>
            </w:pPr>
            <w:r>
              <w:rPr>
                <w:rFonts w:eastAsia="黑体"/>
                <w:bCs/>
                <w:sz w:val="24"/>
              </w:rPr>
              <w:t>制修订</w:t>
            </w:r>
          </w:p>
        </w:tc>
        <w:tc>
          <w:tcPr>
            <w:tcW w:w="1738" w:type="dxa"/>
            <w:tcMar>
              <w:top w:w="28" w:type="dxa"/>
              <w:left w:w="28" w:type="dxa"/>
              <w:bottom w:w="28" w:type="dxa"/>
              <w:right w:w="28" w:type="dxa"/>
            </w:tcMar>
            <w:vAlign w:val="center"/>
          </w:tcPr>
          <w:p w:rsidR="006A12C0" w:rsidRDefault="007467FA">
            <w:pPr>
              <w:adjustRightInd w:val="0"/>
              <w:snapToGrid w:val="0"/>
              <w:spacing w:line="260" w:lineRule="exact"/>
              <w:ind w:right="120"/>
              <w:jc w:val="center"/>
              <w:rPr>
                <w:rFonts w:eastAsia="黑体"/>
                <w:bCs/>
                <w:sz w:val="24"/>
              </w:rPr>
            </w:pPr>
            <w:r>
              <w:rPr>
                <w:rFonts w:eastAsia="黑体"/>
                <w:bCs/>
                <w:sz w:val="24"/>
              </w:rPr>
              <w:t>替代标准</w:t>
            </w:r>
          </w:p>
        </w:tc>
        <w:tc>
          <w:tcPr>
            <w:tcW w:w="5195" w:type="dxa"/>
            <w:tcMar>
              <w:top w:w="28" w:type="dxa"/>
              <w:left w:w="28" w:type="dxa"/>
              <w:bottom w:w="28" w:type="dxa"/>
              <w:right w:w="28" w:type="dxa"/>
            </w:tcMar>
            <w:vAlign w:val="center"/>
          </w:tcPr>
          <w:p w:rsidR="006A12C0" w:rsidRDefault="007467FA">
            <w:pPr>
              <w:adjustRightInd w:val="0"/>
              <w:snapToGrid w:val="0"/>
              <w:spacing w:line="260" w:lineRule="exact"/>
              <w:ind w:right="120"/>
              <w:jc w:val="center"/>
              <w:rPr>
                <w:rFonts w:eastAsia="黑体"/>
                <w:bCs/>
                <w:sz w:val="24"/>
              </w:rPr>
            </w:pPr>
            <w:r>
              <w:rPr>
                <w:rFonts w:eastAsia="黑体"/>
                <w:bCs/>
                <w:sz w:val="24"/>
              </w:rPr>
              <w:t>适用范围</w:t>
            </w:r>
          </w:p>
        </w:tc>
        <w:tc>
          <w:tcPr>
            <w:tcW w:w="2108" w:type="dxa"/>
            <w:tcMar>
              <w:top w:w="28" w:type="dxa"/>
              <w:left w:w="28" w:type="dxa"/>
              <w:bottom w:w="28" w:type="dxa"/>
              <w:right w:w="28" w:type="dxa"/>
            </w:tcMar>
            <w:vAlign w:val="center"/>
          </w:tcPr>
          <w:p w:rsidR="006A12C0" w:rsidRDefault="007467FA">
            <w:pPr>
              <w:adjustRightInd w:val="0"/>
              <w:snapToGrid w:val="0"/>
              <w:spacing w:line="260" w:lineRule="exact"/>
              <w:ind w:right="120"/>
              <w:jc w:val="center"/>
              <w:rPr>
                <w:rFonts w:eastAsia="黑体"/>
                <w:bCs/>
                <w:sz w:val="24"/>
              </w:rPr>
            </w:pPr>
            <w:r>
              <w:rPr>
                <w:rFonts w:eastAsia="黑体"/>
                <w:bCs/>
                <w:sz w:val="24"/>
              </w:rPr>
              <w:t>实施日期</w:t>
            </w:r>
          </w:p>
        </w:tc>
      </w:tr>
      <w:tr w:rsidR="006A12C0">
        <w:trPr>
          <w:cantSplit/>
          <w:trHeight w:val="3522"/>
          <w:jc w:val="center"/>
        </w:trPr>
        <w:tc>
          <w:tcPr>
            <w:tcW w:w="584" w:type="dxa"/>
            <w:tcMar>
              <w:top w:w="28" w:type="dxa"/>
              <w:left w:w="28" w:type="dxa"/>
              <w:bottom w:w="28" w:type="dxa"/>
              <w:right w:w="28" w:type="dxa"/>
            </w:tcMar>
            <w:vAlign w:val="center"/>
          </w:tcPr>
          <w:p w:rsidR="006A12C0" w:rsidRDefault="007467FA">
            <w:pPr>
              <w:adjustRightInd w:val="0"/>
              <w:snapToGrid w:val="0"/>
              <w:spacing w:line="260" w:lineRule="exact"/>
              <w:jc w:val="center"/>
              <w:rPr>
                <w:rFonts w:eastAsia="仿宋_GB2312"/>
                <w:bCs/>
                <w:sz w:val="24"/>
                <w:lang w:val="en"/>
              </w:rPr>
            </w:pPr>
            <w:r>
              <w:rPr>
                <w:rFonts w:eastAsia="仿宋_GB2312"/>
                <w:bCs/>
                <w:sz w:val="24"/>
                <w:lang w:val="en"/>
              </w:rPr>
              <w:t>1</w:t>
            </w:r>
          </w:p>
        </w:tc>
        <w:tc>
          <w:tcPr>
            <w:tcW w:w="1926"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 0315</w:t>
            </w:r>
            <w:r>
              <w:rPr>
                <w:rFonts w:eastAsia="仿宋_GB2312" w:hint="eastAsia"/>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钛及钛合金牙种植体</w:t>
            </w:r>
          </w:p>
        </w:tc>
        <w:tc>
          <w:tcPr>
            <w:tcW w:w="955"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 0315</w:t>
            </w:r>
            <w:r>
              <w:rPr>
                <w:rFonts w:eastAsia="仿宋_GB2312" w:hint="eastAsia"/>
                <w:color w:val="000000"/>
                <w:sz w:val="24"/>
              </w:rPr>
              <w:t>—</w:t>
            </w:r>
            <w:r>
              <w:rPr>
                <w:rFonts w:eastAsia="仿宋_GB2312"/>
                <w:color w:val="000000"/>
                <w:sz w:val="24"/>
              </w:rPr>
              <w:t>2016</w:t>
            </w:r>
          </w:p>
        </w:tc>
        <w:tc>
          <w:tcPr>
            <w:tcW w:w="5195"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rPr>
              <w:t>本文件规定了以锻制钛及钛合金材料制成的不带表面涂层的牙种植体的性能要求、包装、标识和使用说明书，并描述了相应的试验方法。本文件适用于由化学成分符合</w:t>
            </w:r>
            <w:r>
              <w:rPr>
                <w:rFonts w:eastAsia="仿宋_GB2312"/>
                <w:color w:val="000000"/>
                <w:sz w:val="24"/>
              </w:rPr>
              <w:t>GB/T 13810</w:t>
            </w:r>
            <w:r>
              <w:rPr>
                <w:rFonts w:eastAsia="仿宋_GB2312"/>
                <w:color w:val="000000"/>
                <w:sz w:val="24"/>
              </w:rPr>
              <w:t>或</w:t>
            </w:r>
            <w:r>
              <w:rPr>
                <w:rFonts w:eastAsia="仿宋_GB2312"/>
                <w:color w:val="000000"/>
                <w:sz w:val="24"/>
              </w:rPr>
              <w:t>ISO 5832-2</w:t>
            </w:r>
            <w:r>
              <w:rPr>
                <w:rFonts w:eastAsia="仿宋_GB2312"/>
                <w:color w:val="000000"/>
                <w:sz w:val="24"/>
              </w:rPr>
              <w:t>、</w:t>
            </w:r>
            <w:r>
              <w:rPr>
                <w:rFonts w:eastAsia="仿宋_GB2312"/>
                <w:color w:val="000000"/>
                <w:sz w:val="24"/>
              </w:rPr>
              <w:t>ISO 5832-3</w:t>
            </w:r>
            <w:r>
              <w:rPr>
                <w:rFonts w:eastAsia="仿宋_GB2312"/>
                <w:color w:val="000000"/>
                <w:sz w:val="24"/>
              </w:rPr>
              <w:t>、</w:t>
            </w:r>
            <w:r>
              <w:rPr>
                <w:rFonts w:eastAsia="仿宋_GB2312"/>
                <w:color w:val="000000"/>
                <w:sz w:val="24"/>
              </w:rPr>
              <w:t>ISO 5832-11</w:t>
            </w:r>
            <w:r>
              <w:rPr>
                <w:rFonts w:eastAsia="仿宋_GB2312"/>
                <w:color w:val="000000"/>
                <w:sz w:val="24"/>
              </w:rPr>
              <w:t>或</w:t>
            </w:r>
            <w:r>
              <w:rPr>
                <w:rFonts w:eastAsia="仿宋_GB2312"/>
                <w:color w:val="000000"/>
                <w:sz w:val="24"/>
              </w:rPr>
              <w:t>ASTM F67</w:t>
            </w:r>
            <w:r>
              <w:rPr>
                <w:rFonts w:eastAsia="仿宋_GB2312"/>
                <w:color w:val="000000"/>
                <w:sz w:val="24"/>
              </w:rPr>
              <w:t>、</w:t>
            </w:r>
            <w:r>
              <w:rPr>
                <w:rFonts w:eastAsia="仿宋_GB2312"/>
                <w:color w:val="000000"/>
                <w:sz w:val="24"/>
              </w:rPr>
              <w:t>ASTM F136</w:t>
            </w:r>
            <w:r>
              <w:rPr>
                <w:rFonts w:eastAsia="仿宋_GB2312"/>
                <w:color w:val="000000"/>
                <w:sz w:val="24"/>
              </w:rPr>
              <w:t>、</w:t>
            </w:r>
            <w:r>
              <w:rPr>
                <w:rFonts w:eastAsia="仿宋_GB2312"/>
                <w:color w:val="000000"/>
                <w:sz w:val="24"/>
              </w:rPr>
              <w:t>ASTM F1295</w:t>
            </w:r>
            <w:r>
              <w:rPr>
                <w:rFonts w:eastAsia="仿宋_GB2312"/>
                <w:color w:val="000000"/>
                <w:sz w:val="24"/>
              </w:rPr>
              <w:t>、</w:t>
            </w:r>
            <w:r>
              <w:rPr>
                <w:rFonts w:eastAsia="仿宋_GB2312"/>
                <w:color w:val="000000"/>
                <w:sz w:val="24"/>
              </w:rPr>
              <w:t>ASTM F1472</w:t>
            </w:r>
            <w:r>
              <w:rPr>
                <w:rFonts w:eastAsia="仿宋_GB2312"/>
                <w:color w:val="000000"/>
                <w:sz w:val="24"/>
              </w:rPr>
              <w:t>中外科植入物用钛及钛合金材料制成的牙种植体。本文件不适用于牙种植体附件和增材制造钛及钛合金牙种植体。</w:t>
            </w:r>
          </w:p>
        </w:tc>
        <w:tc>
          <w:tcPr>
            <w:tcW w:w="2108"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lang w:val="en"/>
              </w:rPr>
              <w:t>2026</w:t>
            </w:r>
            <w:r>
              <w:rPr>
                <w:rFonts w:eastAsia="仿宋_GB2312"/>
                <w:color w:val="000000"/>
                <w:sz w:val="24"/>
                <w:lang w:val="en"/>
              </w:rPr>
              <w:t>年</w:t>
            </w:r>
            <w:r>
              <w:rPr>
                <w:rFonts w:eastAsia="仿宋_GB2312"/>
                <w:color w:val="000000"/>
                <w:sz w:val="24"/>
              </w:rPr>
              <w:t>12</w:t>
            </w:r>
            <w:r>
              <w:rPr>
                <w:rFonts w:eastAsia="仿宋_GB2312"/>
                <w:color w:val="000000"/>
                <w:sz w:val="24"/>
              </w:rPr>
              <w:t>月</w:t>
            </w:r>
            <w:r>
              <w:rPr>
                <w:rFonts w:eastAsia="仿宋_GB2312"/>
                <w:color w:val="000000"/>
                <w:sz w:val="24"/>
              </w:rPr>
              <w:t>1</w:t>
            </w:r>
            <w:r>
              <w:rPr>
                <w:rFonts w:eastAsia="仿宋_GB2312"/>
                <w:color w:val="000000"/>
                <w:sz w:val="24"/>
              </w:rPr>
              <w:t>日</w:t>
            </w:r>
          </w:p>
        </w:tc>
      </w:tr>
      <w:tr w:rsidR="006A12C0" w:rsidTr="003529B8">
        <w:trPr>
          <w:cantSplit/>
          <w:trHeight w:val="2147"/>
          <w:jc w:val="center"/>
        </w:trPr>
        <w:tc>
          <w:tcPr>
            <w:tcW w:w="584" w:type="dxa"/>
            <w:tcMar>
              <w:top w:w="28" w:type="dxa"/>
              <w:left w:w="28" w:type="dxa"/>
              <w:bottom w:w="28" w:type="dxa"/>
              <w:right w:w="28" w:type="dxa"/>
            </w:tcMar>
            <w:vAlign w:val="center"/>
          </w:tcPr>
          <w:p w:rsidR="006A12C0" w:rsidRDefault="007467FA">
            <w:pPr>
              <w:adjustRightInd w:val="0"/>
              <w:snapToGrid w:val="0"/>
              <w:spacing w:line="260" w:lineRule="exact"/>
              <w:jc w:val="center"/>
              <w:rPr>
                <w:rFonts w:eastAsia="仿宋_GB2312"/>
                <w:bCs/>
                <w:sz w:val="24"/>
                <w:lang w:val="en"/>
              </w:rPr>
            </w:pPr>
            <w:r>
              <w:rPr>
                <w:rFonts w:eastAsia="仿宋_GB2312"/>
                <w:bCs/>
                <w:sz w:val="24"/>
                <w:lang w:val="en"/>
              </w:rPr>
              <w:t>2</w:t>
            </w:r>
          </w:p>
        </w:tc>
        <w:tc>
          <w:tcPr>
            <w:tcW w:w="1926"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 0469</w:t>
            </w:r>
            <w:r>
              <w:rPr>
                <w:rFonts w:eastAsia="仿宋_GB2312" w:hint="eastAsia"/>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医用外科口罩</w:t>
            </w:r>
          </w:p>
        </w:tc>
        <w:tc>
          <w:tcPr>
            <w:tcW w:w="955"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 0469</w:t>
            </w:r>
            <w:r>
              <w:rPr>
                <w:rFonts w:eastAsia="仿宋_GB2312" w:hint="eastAsia"/>
                <w:color w:val="000000"/>
                <w:sz w:val="24"/>
              </w:rPr>
              <w:t>—</w:t>
            </w:r>
            <w:r>
              <w:rPr>
                <w:rFonts w:eastAsia="仿宋_GB2312"/>
                <w:color w:val="000000"/>
                <w:sz w:val="24"/>
              </w:rPr>
              <w:t>2011</w:t>
            </w:r>
          </w:p>
        </w:tc>
        <w:tc>
          <w:tcPr>
            <w:tcW w:w="5195"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rPr>
              <w:t>本文件规定了医用外科口罩的技术要求、试验方法、标志、包装、运输和贮存。本文件适用于医护人员在含有潜在血液、体液、分泌物污染风险的医疗环境及有创操作环境佩戴的一次性医用口罩。本文件不适用于医用及其它工作环境下的防护口罩。</w:t>
            </w:r>
          </w:p>
        </w:tc>
        <w:tc>
          <w:tcPr>
            <w:tcW w:w="2108"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lang w:val="en"/>
              </w:rPr>
              <w:t>2026</w:t>
            </w:r>
            <w:r>
              <w:rPr>
                <w:rFonts w:eastAsia="仿宋_GB2312"/>
                <w:color w:val="000000"/>
                <w:sz w:val="24"/>
                <w:lang w:val="en"/>
              </w:rPr>
              <w:t>年</w:t>
            </w:r>
            <w:r>
              <w:rPr>
                <w:rFonts w:eastAsia="仿宋_GB2312"/>
                <w:color w:val="000000"/>
                <w:sz w:val="24"/>
              </w:rPr>
              <w:t>12</w:t>
            </w:r>
            <w:r>
              <w:rPr>
                <w:rFonts w:eastAsia="仿宋_GB2312"/>
                <w:color w:val="000000"/>
                <w:sz w:val="24"/>
              </w:rPr>
              <w:t>月</w:t>
            </w:r>
            <w:r>
              <w:rPr>
                <w:rFonts w:eastAsia="仿宋_GB2312"/>
                <w:color w:val="000000"/>
                <w:sz w:val="24"/>
              </w:rPr>
              <w:t>1</w:t>
            </w:r>
            <w:r>
              <w:rPr>
                <w:rFonts w:eastAsia="仿宋_GB2312"/>
                <w:color w:val="000000"/>
                <w:sz w:val="24"/>
              </w:rPr>
              <w:t>日</w:t>
            </w:r>
          </w:p>
        </w:tc>
      </w:tr>
      <w:tr w:rsidR="006A12C0" w:rsidTr="003529B8">
        <w:trPr>
          <w:cantSplit/>
          <w:trHeight w:val="2289"/>
          <w:jc w:val="center"/>
        </w:trPr>
        <w:tc>
          <w:tcPr>
            <w:tcW w:w="584" w:type="dxa"/>
            <w:tcMar>
              <w:top w:w="28" w:type="dxa"/>
              <w:left w:w="28" w:type="dxa"/>
              <w:bottom w:w="28" w:type="dxa"/>
              <w:right w:w="28" w:type="dxa"/>
            </w:tcMar>
            <w:vAlign w:val="center"/>
          </w:tcPr>
          <w:p w:rsidR="006A12C0" w:rsidRDefault="007467FA">
            <w:pPr>
              <w:adjustRightInd w:val="0"/>
              <w:snapToGrid w:val="0"/>
              <w:spacing w:line="260" w:lineRule="exact"/>
              <w:jc w:val="center"/>
              <w:rPr>
                <w:rFonts w:eastAsia="仿宋_GB2312"/>
                <w:bCs/>
                <w:sz w:val="24"/>
                <w:lang w:val="en"/>
              </w:rPr>
            </w:pPr>
            <w:r>
              <w:rPr>
                <w:rFonts w:eastAsia="仿宋_GB2312"/>
                <w:bCs/>
                <w:sz w:val="24"/>
                <w:lang w:val="en"/>
              </w:rPr>
              <w:lastRenderedPageBreak/>
              <w:t>3</w:t>
            </w:r>
          </w:p>
        </w:tc>
        <w:tc>
          <w:tcPr>
            <w:tcW w:w="1926"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 0793.2</w:t>
            </w:r>
            <w:r>
              <w:rPr>
                <w:rFonts w:eastAsia="仿宋_GB2312" w:hint="eastAsia"/>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血液透析和相关治疗用液体的制备和质量管理</w:t>
            </w:r>
            <w:r>
              <w:rPr>
                <w:rFonts w:eastAsia="仿宋_GB2312"/>
                <w:color w:val="000000"/>
                <w:sz w:val="24"/>
              </w:rPr>
              <w:t xml:space="preserve"> </w:t>
            </w:r>
            <w:r>
              <w:rPr>
                <w:rFonts w:eastAsia="仿宋_GB2312"/>
                <w:color w:val="000000"/>
                <w:sz w:val="24"/>
              </w:rPr>
              <w:t>第</w:t>
            </w:r>
            <w:r>
              <w:rPr>
                <w:rFonts w:eastAsia="仿宋_GB2312"/>
                <w:color w:val="000000"/>
                <w:sz w:val="24"/>
              </w:rPr>
              <w:t>2</w:t>
            </w:r>
            <w:r>
              <w:rPr>
                <w:rFonts w:eastAsia="仿宋_GB2312"/>
                <w:color w:val="000000"/>
                <w:sz w:val="24"/>
              </w:rPr>
              <w:t>部分：血液透析和相关治疗用水</w:t>
            </w:r>
            <w:r>
              <w:rPr>
                <w:rFonts w:eastAsia="仿宋_GB2312"/>
                <w:color w:val="000000"/>
                <w:sz w:val="24"/>
              </w:rPr>
              <w:t xml:space="preserve"> </w:t>
            </w:r>
          </w:p>
        </w:tc>
        <w:tc>
          <w:tcPr>
            <w:tcW w:w="955"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 0572</w:t>
            </w:r>
            <w:r>
              <w:rPr>
                <w:rFonts w:eastAsia="仿宋_GB2312" w:hint="eastAsia"/>
                <w:color w:val="000000"/>
                <w:sz w:val="24"/>
              </w:rPr>
              <w:t>—</w:t>
            </w:r>
            <w:r>
              <w:rPr>
                <w:rFonts w:eastAsia="仿宋_GB2312"/>
                <w:color w:val="000000"/>
                <w:sz w:val="24"/>
              </w:rPr>
              <w:t>2015</w:t>
            </w:r>
          </w:p>
        </w:tc>
        <w:tc>
          <w:tcPr>
            <w:tcW w:w="5195"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rPr>
              <w:t>本文件规定了制备透析浓缩液、透析用液体（用于血液透析、血液透析滤过或血液滤过）所用水的最低要求。本文件适用于制备透析浓缩液、透析用液体（用于血液透析、血液透析滤过或血液滤过）所用水。本文件不涉及水处理设备的使用，及水经处理后与浓缩物混合制成最终透析液的操作。这些操作由透析专业人员负责。本文件不适用于透析液再生系统。</w:t>
            </w:r>
          </w:p>
        </w:tc>
        <w:tc>
          <w:tcPr>
            <w:tcW w:w="2108"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lang w:val="en"/>
              </w:rPr>
              <w:t>2026</w:t>
            </w:r>
            <w:r>
              <w:rPr>
                <w:rFonts w:eastAsia="仿宋_GB2312"/>
                <w:color w:val="000000"/>
                <w:sz w:val="24"/>
                <w:lang w:val="en"/>
              </w:rPr>
              <w:t>年</w:t>
            </w:r>
            <w:r>
              <w:rPr>
                <w:rFonts w:eastAsia="仿宋_GB2312"/>
                <w:color w:val="000000"/>
                <w:sz w:val="24"/>
              </w:rPr>
              <w:t>12</w:t>
            </w:r>
            <w:r>
              <w:rPr>
                <w:rFonts w:eastAsia="仿宋_GB2312"/>
                <w:color w:val="000000"/>
                <w:sz w:val="24"/>
              </w:rPr>
              <w:t>月</w:t>
            </w:r>
            <w:r>
              <w:rPr>
                <w:rFonts w:eastAsia="仿宋_GB2312"/>
                <w:color w:val="000000"/>
                <w:sz w:val="24"/>
              </w:rPr>
              <w:t>1</w:t>
            </w:r>
            <w:r>
              <w:rPr>
                <w:rFonts w:eastAsia="仿宋_GB2312"/>
                <w:color w:val="000000"/>
                <w:sz w:val="24"/>
              </w:rPr>
              <w:t>日</w:t>
            </w:r>
          </w:p>
        </w:tc>
      </w:tr>
      <w:tr w:rsidR="006A12C0">
        <w:trPr>
          <w:cantSplit/>
          <w:trHeight w:val="4108"/>
          <w:jc w:val="center"/>
        </w:trPr>
        <w:tc>
          <w:tcPr>
            <w:tcW w:w="584" w:type="dxa"/>
            <w:tcMar>
              <w:top w:w="28" w:type="dxa"/>
              <w:left w:w="28" w:type="dxa"/>
              <w:bottom w:w="28" w:type="dxa"/>
              <w:right w:w="28" w:type="dxa"/>
            </w:tcMar>
            <w:vAlign w:val="center"/>
          </w:tcPr>
          <w:p w:rsidR="006A12C0" w:rsidRDefault="007467FA">
            <w:pPr>
              <w:adjustRightInd w:val="0"/>
              <w:snapToGrid w:val="0"/>
              <w:spacing w:line="260" w:lineRule="exact"/>
              <w:jc w:val="center"/>
              <w:rPr>
                <w:rFonts w:eastAsia="仿宋_GB2312"/>
                <w:bCs/>
                <w:sz w:val="24"/>
                <w:lang w:val="en"/>
              </w:rPr>
            </w:pPr>
            <w:r>
              <w:rPr>
                <w:rFonts w:eastAsia="仿宋_GB2312"/>
                <w:bCs/>
                <w:sz w:val="24"/>
                <w:lang w:val="en"/>
              </w:rPr>
              <w:t>4</w:t>
            </w:r>
          </w:p>
        </w:tc>
        <w:tc>
          <w:tcPr>
            <w:tcW w:w="1926"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 1042</w:t>
            </w:r>
            <w:r>
              <w:rPr>
                <w:rFonts w:eastAsia="仿宋_GB2312" w:hint="eastAsia"/>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牙科学</w:t>
            </w:r>
            <w:r>
              <w:rPr>
                <w:rFonts w:eastAsia="仿宋_GB2312"/>
                <w:color w:val="000000"/>
                <w:sz w:val="24"/>
              </w:rPr>
              <w:t xml:space="preserve"> </w:t>
            </w:r>
            <w:r>
              <w:rPr>
                <w:rFonts w:eastAsia="仿宋_GB2312"/>
                <w:color w:val="000000"/>
                <w:sz w:val="24"/>
              </w:rPr>
              <w:t>聚合物基修复材料</w:t>
            </w:r>
          </w:p>
        </w:tc>
        <w:tc>
          <w:tcPr>
            <w:tcW w:w="955"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 1042</w:t>
            </w:r>
            <w:r>
              <w:rPr>
                <w:rFonts w:eastAsia="仿宋_GB2312" w:hint="eastAsia"/>
                <w:color w:val="000000"/>
                <w:sz w:val="24"/>
              </w:rPr>
              <w:t>—</w:t>
            </w:r>
            <w:r>
              <w:rPr>
                <w:rFonts w:eastAsia="仿宋_GB2312"/>
                <w:color w:val="000000"/>
                <w:sz w:val="24"/>
              </w:rPr>
              <w:t>2011</w:t>
            </w:r>
          </w:p>
        </w:tc>
        <w:tc>
          <w:tcPr>
            <w:tcW w:w="5195"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rPr>
              <w:t>本文件规定了牙科聚合物基修复材料的要求。该类材料是以适合于经机械混合、手工调和、或在口腔内和口腔外采用外部能量激活的形式提供的，主要用于牙齿的直接或间接修复和粘固。本文件所涵盖的聚合物基粘固材料是指用于修复体和修复装置，如嵌体、高嵌体、贴面、冠和桥的粘固或固位的材料。本文件不涵盖材料中含有粘接性成分的聚合物基粘固材料（见</w:t>
            </w:r>
            <w:r>
              <w:rPr>
                <w:rFonts w:eastAsia="仿宋_GB2312"/>
                <w:color w:val="000000"/>
                <w:sz w:val="24"/>
              </w:rPr>
              <w:t>ISO/TS 16506</w:t>
            </w:r>
            <w:r>
              <w:rPr>
                <w:rFonts w:eastAsia="仿宋_GB2312"/>
                <w:color w:val="000000"/>
                <w:sz w:val="24"/>
              </w:rPr>
              <w:t>）。本文件不涵盖用于预防龋齿的牙科聚合物基材料（见</w:t>
            </w:r>
            <w:r>
              <w:rPr>
                <w:rFonts w:eastAsia="仿宋_GB2312"/>
                <w:color w:val="000000"/>
                <w:sz w:val="24"/>
              </w:rPr>
              <w:t>YY 0622</w:t>
            </w:r>
            <w:r>
              <w:rPr>
                <w:rFonts w:eastAsia="仿宋_GB2312"/>
                <w:color w:val="000000"/>
                <w:sz w:val="24"/>
              </w:rPr>
              <w:t>）、桩核材料或用于金属基底上的贴面材料（见</w:t>
            </w:r>
            <w:r>
              <w:rPr>
                <w:rFonts w:eastAsia="仿宋_GB2312"/>
                <w:color w:val="000000"/>
                <w:sz w:val="24"/>
              </w:rPr>
              <w:t>YY 0710</w:t>
            </w:r>
            <w:r>
              <w:rPr>
                <w:rFonts w:eastAsia="仿宋_GB2312"/>
                <w:color w:val="000000"/>
                <w:sz w:val="24"/>
              </w:rPr>
              <w:t>）。</w:t>
            </w:r>
          </w:p>
        </w:tc>
        <w:tc>
          <w:tcPr>
            <w:tcW w:w="2108"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lang w:val="en"/>
              </w:rPr>
              <w:t>2026</w:t>
            </w:r>
            <w:r>
              <w:rPr>
                <w:rFonts w:eastAsia="仿宋_GB2312"/>
                <w:color w:val="000000"/>
                <w:sz w:val="24"/>
                <w:lang w:val="en"/>
              </w:rPr>
              <w:t>年</w:t>
            </w:r>
            <w:r>
              <w:rPr>
                <w:rFonts w:eastAsia="仿宋_GB2312"/>
                <w:color w:val="000000"/>
                <w:sz w:val="24"/>
              </w:rPr>
              <w:t>12</w:t>
            </w:r>
            <w:r>
              <w:rPr>
                <w:rFonts w:eastAsia="仿宋_GB2312"/>
                <w:color w:val="000000"/>
                <w:sz w:val="24"/>
              </w:rPr>
              <w:t>月</w:t>
            </w:r>
            <w:r>
              <w:rPr>
                <w:rFonts w:eastAsia="仿宋_GB2312"/>
                <w:color w:val="000000"/>
                <w:sz w:val="24"/>
              </w:rPr>
              <w:t>1</w:t>
            </w:r>
            <w:r>
              <w:rPr>
                <w:rFonts w:eastAsia="仿宋_GB2312"/>
                <w:color w:val="000000"/>
                <w:sz w:val="24"/>
              </w:rPr>
              <w:t>日</w:t>
            </w:r>
          </w:p>
        </w:tc>
      </w:tr>
      <w:tr w:rsidR="006A12C0">
        <w:trPr>
          <w:cantSplit/>
          <w:trHeight w:val="2028"/>
          <w:jc w:val="center"/>
        </w:trPr>
        <w:tc>
          <w:tcPr>
            <w:tcW w:w="584" w:type="dxa"/>
            <w:tcMar>
              <w:top w:w="28" w:type="dxa"/>
              <w:left w:w="28" w:type="dxa"/>
              <w:bottom w:w="28" w:type="dxa"/>
              <w:right w:w="28" w:type="dxa"/>
            </w:tcMar>
            <w:vAlign w:val="center"/>
          </w:tcPr>
          <w:p w:rsidR="006A12C0" w:rsidRDefault="007467FA">
            <w:pPr>
              <w:adjustRightInd w:val="0"/>
              <w:snapToGrid w:val="0"/>
              <w:spacing w:line="260" w:lineRule="exact"/>
              <w:jc w:val="center"/>
              <w:rPr>
                <w:rFonts w:eastAsia="仿宋_GB2312"/>
                <w:bCs/>
                <w:sz w:val="24"/>
                <w:lang w:val="en"/>
              </w:rPr>
            </w:pPr>
            <w:r>
              <w:rPr>
                <w:rFonts w:eastAsia="仿宋_GB2312"/>
                <w:bCs/>
                <w:sz w:val="24"/>
                <w:lang w:val="en"/>
              </w:rPr>
              <w:lastRenderedPageBreak/>
              <w:t>5</w:t>
            </w:r>
          </w:p>
        </w:tc>
        <w:tc>
          <w:tcPr>
            <w:tcW w:w="1926"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YY/T 0003</w:t>
            </w:r>
            <w:r>
              <w:rPr>
                <w:rFonts w:eastAsia="仿宋_GB2312" w:hint="eastAsia"/>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手动病床</w:t>
            </w:r>
          </w:p>
        </w:tc>
        <w:tc>
          <w:tcPr>
            <w:tcW w:w="955"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YY/T 0003</w:t>
            </w:r>
            <w:r>
              <w:rPr>
                <w:rFonts w:eastAsia="仿宋_GB2312" w:hint="eastAsia"/>
                <w:color w:val="000000"/>
                <w:sz w:val="24"/>
              </w:rPr>
              <w:t>—</w:t>
            </w:r>
            <w:r>
              <w:rPr>
                <w:rFonts w:eastAsia="仿宋_GB2312"/>
                <w:color w:val="000000"/>
                <w:sz w:val="24"/>
              </w:rPr>
              <w:t>1990</w:t>
            </w:r>
          </w:p>
        </w:tc>
        <w:tc>
          <w:tcPr>
            <w:tcW w:w="5195"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rPr>
              <w:t>本文件规定了手动病床的要求、试验方法和说明书。本文件适用于手动病床。该产品预期用于身高等于或大于</w:t>
            </w:r>
            <w:r>
              <w:rPr>
                <w:rFonts w:eastAsia="仿宋_GB2312"/>
                <w:color w:val="000000"/>
                <w:sz w:val="24"/>
              </w:rPr>
              <w:t>146cm</w:t>
            </w:r>
            <w:r>
              <w:rPr>
                <w:rFonts w:eastAsia="仿宋_GB2312"/>
                <w:color w:val="000000"/>
                <w:sz w:val="24"/>
              </w:rPr>
              <w:t>，质量等于或大于</w:t>
            </w:r>
            <w:r>
              <w:rPr>
                <w:rFonts w:eastAsia="仿宋_GB2312"/>
                <w:color w:val="000000"/>
                <w:sz w:val="24"/>
              </w:rPr>
              <w:t>40kg</w:t>
            </w:r>
            <w:r>
              <w:rPr>
                <w:rFonts w:eastAsia="仿宋_GB2312"/>
                <w:color w:val="000000"/>
                <w:sz w:val="24"/>
              </w:rPr>
              <w:t>，体重指数（</w:t>
            </w:r>
            <w:r>
              <w:rPr>
                <w:rFonts w:eastAsia="仿宋_GB2312"/>
                <w:color w:val="000000"/>
                <w:sz w:val="24"/>
              </w:rPr>
              <w:t>BMI</w:t>
            </w:r>
            <w:r>
              <w:rPr>
                <w:rFonts w:eastAsia="仿宋_GB2312"/>
                <w:color w:val="000000"/>
                <w:sz w:val="24"/>
              </w:rPr>
              <w:t>）等于或大于</w:t>
            </w:r>
            <w:r>
              <w:rPr>
                <w:rFonts w:eastAsia="仿宋_GB2312"/>
                <w:color w:val="000000"/>
                <w:sz w:val="24"/>
              </w:rPr>
              <w:t>17</w:t>
            </w:r>
            <w:r>
              <w:rPr>
                <w:rFonts w:eastAsia="仿宋_GB2312"/>
                <w:color w:val="000000"/>
                <w:sz w:val="24"/>
              </w:rPr>
              <w:t>的患者。</w:t>
            </w:r>
          </w:p>
        </w:tc>
        <w:tc>
          <w:tcPr>
            <w:tcW w:w="2108"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5</w:t>
            </w:r>
            <w:r>
              <w:rPr>
                <w:rFonts w:eastAsia="仿宋_GB2312"/>
                <w:color w:val="000000"/>
                <w:sz w:val="24"/>
                <w:lang w:val="en"/>
              </w:rPr>
              <w:t>年</w:t>
            </w:r>
            <w:r>
              <w:rPr>
                <w:rFonts w:eastAsia="仿宋_GB2312"/>
                <w:color w:val="000000"/>
                <w:sz w:val="24"/>
              </w:rPr>
              <w:t>12</w:t>
            </w:r>
            <w:r>
              <w:rPr>
                <w:rFonts w:eastAsia="仿宋_GB2312"/>
                <w:color w:val="000000"/>
                <w:sz w:val="24"/>
              </w:rPr>
              <w:t>月</w:t>
            </w:r>
            <w:r>
              <w:rPr>
                <w:rFonts w:eastAsia="仿宋_GB2312"/>
                <w:color w:val="000000"/>
                <w:sz w:val="24"/>
              </w:rPr>
              <w:t>1</w:t>
            </w:r>
            <w:r>
              <w:rPr>
                <w:rFonts w:eastAsia="仿宋_GB2312"/>
                <w:color w:val="000000"/>
                <w:sz w:val="24"/>
              </w:rPr>
              <w:t>日</w:t>
            </w:r>
          </w:p>
        </w:tc>
      </w:tr>
      <w:tr w:rsidR="006A12C0">
        <w:trPr>
          <w:cantSplit/>
          <w:trHeight w:val="1835"/>
          <w:jc w:val="center"/>
        </w:trPr>
        <w:tc>
          <w:tcPr>
            <w:tcW w:w="584" w:type="dxa"/>
            <w:tcMar>
              <w:top w:w="28" w:type="dxa"/>
              <w:left w:w="28" w:type="dxa"/>
              <w:bottom w:w="28" w:type="dxa"/>
              <w:right w:w="28" w:type="dxa"/>
            </w:tcMar>
            <w:vAlign w:val="center"/>
          </w:tcPr>
          <w:p w:rsidR="006A12C0" w:rsidRDefault="007467FA">
            <w:pPr>
              <w:adjustRightInd w:val="0"/>
              <w:snapToGrid w:val="0"/>
              <w:spacing w:line="260" w:lineRule="exact"/>
              <w:jc w:val="center"/>
              <w:rPr>
                <w:rFonts w:eastAsia="仿宋_GB2312"/>
                <w:bCs/>
                <w:sz w:val="24"/>
                <w:lang w:val="en"/>
              </w:rPr>
            </w:pPr>
            <w:r>
              <w:rPr>
                <w:rFonts w:eastAsia="仿宋_GB2312"/>
                <w:bCs/>
                <w:sz w:val="24"/>
                <w:lang w:val="en"/>
              </w:rPr>
              <w:t>6</w:t>
            </w:r>
          </w:p>
        </w:tc>
        <w:tc>
          <w:tcPr>
            <w:tcW w:w="1926"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YY/T 0127.4</w:t>
            </w:r>
            <w:r>
              <w:rPr>
                <w:rFonts w:eastAsia="仿宋_GB2312" w:hint="eastAsia"/>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口腔医疗器械生物学评价</w:t>
            </w:r>
            <w:r>
              <w:rPr>
                <w:rFonts w:eastAsia="仿宋_GB2312"/>
                <w:color w:val="000000"/>
                <w:sz w:val="24"/>
              </w:rPr>
              <w:t xml:space="preserve"> </w:t>
            </w:r>
            <w:r>
              <w:rPr>
                <w:rFonts w:eastAsia="仿宋_GB2312"/>
                <w:color w:val="000000"/>
                <w:sz w:val="24"/>
              </w:rPr>
              <w:t>第</w:t>
            </w:r>
            <w:r>
              <w:rPr>
                <w:rFonts w:eastAsia="仿宋_GB2312"/>
                <w:color w:val="000000"/>
                <w:sz w:val="24"/>
              </w:rPr>
              <w:t>4</w:t>
            </w:r>
            <w:r>
              <w:rPr>
                <w:rFonts w:eastAsia="仿宋_GB2312"/>
                <w:color w:val="000000"/>
                <w:sz w:val="24"/>
              </w:rPr>
              <w:t>部分：骨植入试验</w:t>
            </w:r>
          </w:p>
        </w:tc>
        <w:tc>
          <w:tcPr>
            <w:tcW w:w="955"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YY/T 0127.4</w:t>
            </w:r>
            <w:r>
              <w:rPr>
                <w:rFonts w:eastAsia="仿宋_GB2312" w:hint="eastAsia"/>
                <w:color w:val="000000"/>
                <w:sz w:val="24"/>
              </w:rPr>
              <w:t>—</w:t>
            </w:r>
            <w:r>
              <w:rPr>
                <w:rFonts w:eastAsia="仿宋_GB2312"/>
                <w:color w:val="000000"/>
                <w:sz w:val="24"/>
              </w:rPr>
              <w:t>2009</w:t>
            </w:r>
          </w:p>
        </w:tc>
        <w:tc>
          <w:tcPr>
            <w:tcW w:w="5195"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rPr>
              <w:t>本文件描述了口腔医疗器械的骨植入试验方法。本文件适用于评价组织对拟长期或持久与口腔骨组织接触的口腔医疗器械的生物学反应。</w:t>
            </w:r>
          </w:p>
        </w:tc>
        <w:tc>
          <w:tcPr>
            <w:tcW w:w="2108"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12</w:t>
            </w:r>
            <w:r>
              <w:rPr>
                <w:rFonts w:eastAsia="仿宋_GB2312"/>
                <w:color w:val="000000"/>
                <w:sz w:val="24"/>
              </w:rPr>
              <w:t>月</w:t>
            </w:r>
            <w:r>
              <w:rPr>
                <w:rFonts w:eastAsia="仿宋_GB2312"/>
                <w:color w:val="000000"/>
                <w:sz w:val="24"/>
              </w:rPr>
              <w:t>1</w:t>
            </w:r>
            <w:r>
              <w:rPr>
                <w:rFonts w:eastAsia="仿宋_GB2312"/>
                <w:color w:val="000000"/>
                <w:sz w:val="24"/>
              </w:rPr>
              <w:t>日</w:t>
            </w:r>
          </w:p>
        </w:tc>
      </w:tr>
      <w:tr w:rsidR="006A12C0">
        <w:trPr>
          <w:cantSplit/>
          <w:trHeight w:val="2827"/>
          <w:jc w:val="center"/>
        </w:trPr>
        <w:tc>
          <w:tcPr>
            <w:tcW w:w="584" w:type="dxa"/>
            <w:tcMar>
              <w:top w:w="28" w:type="dxa"/>
              <w:left w:w="28" w:type="dxa"/>
              <w:bottom w:w="28" w:type="dxa"/>
              <w:right w:w="28" w:type="dxa"/>
            </w:tcMar>
            <w:vAlign w:val="center"/>
          </w:tcPr>
          <w:p w:rsidR="006A12C0" w:rsidRDefault="007467FA">
            <w:pPr>
              <w:adjustRightInd w:val="0"/>
              <w:snapToGrid w:val="0"/>
              <w:spacing w:line="260" w:lineRule="exact"/>
              <w:jc w:val="center"/>
              <w:rPr>
                <w:rFonts w:eastAsia="仿宋_GB2312"/>
                <w:bCs/>
                <w:sz w:val="24"/>
                <w:lang w:val="en"/>
              </w:rPr>
            </w:pPr>
            <w:r>
              <w:rPr>
                <w:rFonts w:eastAsia="仿宋_GB2312"/>
                <w:bCs/>
                <w:sz w:val="24"/>
                <w:lang w:val="en"/>
              </w:rPr>
              <w:t>7</w:t>
            </w:r>
          </w:p>
        </w:tc>
        <w:tc>
          <w:tcPr>
            <w:tcW w:w="1926"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YY/T 0127.19</w:t>
            </w:r>
            <w:r>
              <w:rPr>
                <w:rFonts w:eastAsia="仿宋_GB2312" w:hint="eastAsia"/>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口腔医疗器械生物学评价</w:t>
            </w:r>
            <w:r>
              <w:rPr>
                <w:rFonts w:eastAsia="仿宋_GB2312"/>
                <w:color w:val="000000"/>
                <w:sz w:val="24"/>
              </w:rPr>
              <w:t xml:space="preserve"> </w:t>
            </w:r>
            <w:r>
              <w:rPr>
                <w:rFonts w:eastAsia="仿宋_GB2312"/>
                <w:color w:val="000000"/>
                <w:sz w:val="24"/>
              </w:rPr>
              <w:t>第</w:t>
            </w:r>
            <w:r>
              <w:rPr>
                <w:rFonts w:eastAsia="仿宋_GB2312"/>
                <w:color w:val="000000"/>
                <w:sz w:val="24"/>
              </w:rPr>
              <w:t>19</w:t>
            </w:r>
            <w:r>
              <w:rPr>
                <w:rFonts w:eastAsia="仿宋_GB2312"/>
                <w:color w:val="000000"/>
                <w:sz w:val="24"/>
              </w:rPr>
              <w:t>部分：亚急性和亚慢性全身毒性试验：植入途径</w:t>
            </w:r>
          </w:p>
        </w:tc>
        <w:tc>
          <w:tcPr>
            <w:tcW w:w="955"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rPr>
              <w:t>本文件描述了口腔医疗器械亚急性和亚慢性植入途径的全身毒性试验方法。本文件适用于评价口腔医疗器械植入途径的亚急性和亚慢性全身毒性试验。</w:t>
            </w:r>
          </w:p>
        </w:tc>
        <w:tc>
          <w:tcPr>
            <w:tcW w:w="2108"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12</w:t>
            </w:r>
            <w:r>
              <w:rPr>
                <w:rFonts w:eastAsia="仿宋_GB2312"/>
                <w:color w:val="000000"/>
                <w:sz w:val="24"/>
              </w:rPr>
              <w:t>月</w:t>
            </w:r>
            <w:r>
              <w:rPr>
                <w:rFonts w:eastAsia="仿宋_GB2312"/>
                <w:color w:val="000000"/>
                <w:sz w:val="24"/>
              </w:rPr>
              <w:t>1</w:t>
            </w:r>
            <w:r>
              <w:rPr>
                <w:rFonts w:eastAsia="仿宋_GB2312"/>
                <w:color w:val="000000"/>
                <w:sz w:val="24"/>
              </w:rPr>
              <w:t>日</w:t>
            </w:r>
          </w:p>
        </w:tc>
      </w:tr>
      <w:tr w:rsidR="006A12C0">
        <w:trPr>
          <w:cantSplit/>
          <w:trHeight w:val="4076"/>
          <w:jc w:val="center"/>
        </w:trPr>
        <w:tc>
          <w:tcPr>
            <w:tcW w:w="584" w:type="dxa"/>
            <w:tcMar>
              <w:top w:w="28" w:type="dxa"/>
              <w:left w:w="28" w:type="dxa"/>
              <w:bottom w:w="28" w:type="dxa"/>
              <w:right w:w="28" w:type="dxa"/>
            </w:tcMar>
            <w:vAlign w:val="center"/>
          </w:tcPr>
          <w:p w:rsidR="006A12C0" w:rsidRDefault="007467FA">
            <w:pPr>
              <w:adjustRightInd w:val="0"/>
              <w:snapToGrid w:val="0"/>
              <w:spacing w:line="260" w:lineRule="exact"/>
              <w:jc w:val="center"/>
              <w:rPr>
                <w:rFonts w:eastAsia="仿宋_GB2312"/>
                <w:bCs/>
                <w:sz w:val="24"/>
                <w:lang w:val="en"/>
              </w:rPr>
            </w:pPr>
            <w:r>
              <w:rPr>
                <w:rFonts w:eastAsia="仿宋_GB2312"/>
                <w:bCs/>
                <w:sz w:val="24"/>
                <w:lang w:val="en"/>
              </w:rPr>
              <w:lastRenderedPageBreak/>
              <w:t>8</w:t>
            </w:r>
          </w:p>
        </w:tc>
        <w:tc>
          <w:tcPr>
            <w:tcW w:w="1926"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YY/T 0489</w:t>
            </w:r>
            <w:r>
              <w:rPr>
                <w:rFonts w:eastAsia="仿宋_GB2312" w:hint="eastAsia"/>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一次性使用无菌引流导管及辅助器械</w:t>
            </w:r>
          </w:p>
        </w:tc>
        <w:tc>
          <w:tcPr>
            <w:tcW w:w="955"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YY/T 0489</w:t>
            </w:r>
            <w:r>
              <w:rPr>
                <w:rFonts w:eastAsia="仿宋_GB2312" w:hint="eastAsia"/>
                <w:color w:val="000000"/>
                <w:sz w:val="24"/>
              </w:rPr>
              <w:t>—</w:t>
            </w:r>
            <w:r>
              <w:rPr>
                <w:rFonts w:eastAsia="仿宋_GB2312"/>
                <w:color w:val="000000"/>
                <w:sz w:val="24"/>
              </w:rPr>
              <w:t>2004</w:t>
            </w:r>
          </w:p>
        </w:tc>
        <w:tc>
          <w:tcPr>
            <w:tcW w:w="5195"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rPr>
              <w:t>本文件规定了一次性使用无菌的引流导管、伤口和积液引流系统、手术引流导管和有关组件的要求，其中导管以手术或经皮方式放置于体腔或伤口中，用于将液体或空气引流到体外。引流导管留作自然引流或连接至吸引源（以加快组织肉芽形成）。本文件不适用于：抽吸导管；气管导管；导尿管；输尿管支架、胆道支架和其他支架；采用胃造口术经皮置入消化道的引流管；用于去除脑脊液的轴索导管；用于从胃肠道中去除溶液或物质的肠导管；涂层。</w:t>
            </w:r>
          </w:p>
        </w:tc>
        <w:tc>
          <w:tcPr>
            <w:tcW w:w="2108"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12</w:t>
            </w:r>
            <w:r>
              <w:rPr>
                <w:rFonts w:eastAsia="仿宋_GB2312"/>
                <w:color w:val="000000"/>
                <w:sz w:val="24"/>
              </w:rPr>
              <w:t>月</w:t>
            </w:r>
            <w:r>
              <w:rPr>
                <w:rFonts w:eastAsia="仿宋_GB2312"/>
                <w:color w:val="000000"/>
                <w:sz w:val="24"/>
              </w:rPr>
              <w:t>1</w:t>
            </w:r>
            <w:r>
              <w:rPr>
                <w:rFonts w:eastAsia="仿宋_GB2312"/>
                <w:color w:val="000000"/>
                <w:sz w:val="24"/>
              </w:rPr>
              <w:t>日</w:t>
            </w:r>
          </w:p>
        </w:tc>
      </w:tr>
      <w:tr w:rsidR="006A12C0">
        <w:trPr>
          <w:cantSplit/>
          <w:trHeight w:val="2909"/>
          <w:jc w:val="center"/>
        </w:trPr>
        <w:tc>
          <w:tcPr>
            <w:tcW w:w="584" w:type="dxa"/>
            <w:tcMar>
              <w:top w:w="28" w:type="dxa"/>
              <w:left w:w="28" w:type="dxa"/>
              <w:bottom w:w="28" w:type="dxa"/>
              <w:right w:w="28" w:type="dxa"/>
            </w:tcMar>
            <w:vAlign w:val="center"/>
          </w:tcPr>
          <w:p w:rsidR="006A12C0" w:rsidRDefault="007467FA">
            <w:pPr>
              <w:adjustRightInd w:val="0"/>
              <w:snapToGrid w:val="0"/>
              <w:spacing w:line="260" w:lineRule="exact"/>
              <w:jc w:val="center"/>
              <w:rPr>
                <w:rFonts w:eastAsia="仿宋_GB2312"/>
                <w:bCs/>
                <w:sz w:val="24"/>
                <w:lang w:val="en"/>
              </w:rPr>
            </w:pPr>
            <w:r>
              <w:rPr>
                <w:rFonts w:eastAsia="仿宋_GB2312"/>
                <w:bCs/>
                <w:sz w:val="24"/>
                <w:lang w:val="en"/>
              </w:rPr>
              <w:t>9</w:t>
            </w:r>
          </w:p>
        </w:tc>
        <w:tc>
          <w:tcPr>
            <w:tcW w:w="1926"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YY/T 0929.3</w:t>
            </w:r>
            <w:r>
              <w:rPr>
                <w:rFonts w:eastAsia="仿宋_GB2312" w:hint="eastAsia"/>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输液用药液过滤器</w:t>
            </w:r>
            <w:r>
              <w:rPr>
                <w:rFonts w:eastAsia="仿宋_GB2312"/>
                <w:color w:val="000000"/>
                <w:sz w:val="24"/>
              </w:rPr>
              <w:t xml:space="preserve"> </w:t>
            </w:r>
            <w:r>
              <w:rPr>
                <w:rFonts w:eastAsia="仿宋_GB2312"/>
                <w:color w:val="000000"/>
                <w:sz w:val="24"/>
              </w:rPr>
              <w:t>第</w:t>
            </w:r>
            <w:r>
              <w:rPr>
                <w:rFonts w:eastAsia="仿宋_GB2312"/>
                <w:color w:val="000000"/>
                <w:sz w:val="24"/>
              </w:rPr>
              <w:t>3</w:t>
            </w:r>
            <w:r>
              <w:rPr>
                <w:rFonts w:eastAsia="仿宋_GB2312"/>
                <w:color w:val="000000"/>
                <w:sz w:val="24"/>
              </w:rPr>
              <w:t>部分：标称孔径</w:t>
            </w:r>
            <w:r>
              <w:rPr>
                <w:rFonts w:eastAsia="仿宋_GB2312"/>
                <w:color w:val="000000"/>
                <w:sz w:val="24"/>
              </w:rPr>
              <w:t>0.22μm</w:t>
            </w:r>
            <w:r>
              <w:rPr>
                <w:rFonts w:eastAsia="仿宋_GB2312"/>
                <w:color w:val="000000"/>
                <w:sz w:val="24"/>
              </w:rPr>
              <w:t>药液过滤器液体细菌截留试验方法</w:t>
            </w:r>
          </w:p>
        </w:tc>
        <w:tc>
          <w:tcPr>
            <w:tcW w:w="955"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YY/T 0918</w:t>
            </w:r>
            <w:r>
              <w:rPr>
                <w:rFonts w:eastAsia="仿宋_GB2312" w:hint="eastAsia"/>
                <w:color w:val="000000"/>
                <w:sz w:val="24"/>
              </w:rPr>
              <w:t>—</w:t>
            </w:r>
            <w:r>
              <w:rPr>
                <w:rFonts w:eastAsia="仿宋_GB2312"/>
                <w:color w:val="000000"/>
                <w:sz w:val="24"/>
              </w:rPr>
              <w:t>2014</w:t>
            </w:r>
          </w:p>
        </w:tc>
        <w:tc>
          <w:tcPr>
            <w:tcW w:w="5195"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rPr>
              <w:t>本文件描述了评价标称孔径</w:t>
            </w:r>
            <w:r>
              <w:rPr>
                <w:rFonts w:eastAsia="仿宋_GB2312"/>
                <w:color w:val="000000"/>
                <w:sz w:val="24"/>
              </w:rPr>
              <w:t>0.22 μm</w:t>
            </w:r>
            <w:r>
              <w:rPr>
                <w:rFonts w:eastAsia="仿宋_GB2312"/>
                <w:color w:val="000000"/>
                <w:sz w:val="24"/>
              </w:rPr>
              <w:t>输液用药液过滤器液体细菌截留能力的试验方法。本文件适用于标称孔径</w:t>
            </w:r>
            <w:r>
              <w:rPr>
                <w:rFonts w:eastAsia="仿宋_GB2312"/>
                <w:color w:val="000000"/>
                <w:sz w:val="24"/>
              </w:rPr>
              <w:t>0.22 μm</w:t>
            </w:r>
            <w:r>
              <w:rPr>
                <w:rFonts w:eastAsia="仿宋_GB2312"/>
                <w:color w:val="000000"/>
                <w:sz w:val="24"/>
              </w:rPr>
              <w:t>输液用药液过滤器液体细菌截留能力的评价，输液用药液过滤膜材液体细菌截留能力的评价可参考本文件。本文件不适用于</w:t>
            </w:r>
            <w:r>
              <w:rPr>
                <w:rFonts w:eastAsia="仿宋_GB2312"/>
                <w:color w:val="000000"/>
                <w:sz w:val="24"/>
              </w:rPr>
              <w:t>0.22 μm</w:t>
            </w:r>
            <w:r>
              <w:rPr>
                <w:rFonts w:eastAsia="仿宋_GB2312"/>
                <w:color w:val="000000"/>
                <w:sz w:val="24"/>
              </w:rPr>
              <w:t>输液用药液过滤器对特定种类药品细菌截留能力的验证。该验证宜采用特定药液或替代溶液在模拟实际临床输液条件下进行。</w:t>
            </w:r>
          </w:p>
        </w:tc>
        <w:tc>
          <w:tcPr>
            <w:tcW w:w="2108"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12</w:t>
            </w:r>
            <w:r>
              <w:rPr>
                <w:rFonts w:eastAsia="仿宋_GB2312"/>
                <w:color w:val="000000"/>
                <w:sz w:val="24"/>
              </w:rPr>
              <w:t>月</w:t>
            </w:r>
            <w:r>
              <w:rPr>
                <w:rFonts w:eastAsia="仿宋_GB2312"/>
                <w:color w:val="000000"/>
                <w:sz w:val="24"/>
              </w:rPr>
              <w:t>1</w:t>
            </w:r>
            <w:r>
              <w:rPr>
                <w:rFonts w:eastAsia="仿宋_GB2312"/>
                <w:color w:val="000000"/>
                <w:sz w:val="24"/>
              </w:rPr>
              <w:t>日</w:t>
            </w:r>
          </w:p>
        </w:tc>
      </w:tr>
      <w:tr w:rsidR="006A12C0">
        <w:trPr>
          <w:cantSplit/>
          <w:trHeight w:val="2477"/>
          <w:jc w:val="center"/>
        </w:trPr>
        <w:tc>
          <w:tcPr>
            <w:tcW w:w="584" w:type="dxa"/>
            <w:tcMar>
              <w:top w:w="28" w:type="dxa"/>
              <w:left w:w="28" w:type="dxa"/>
              <w:bottom w:w="28" w:type="dxa"/>
              <w:right w:w="28" w:type="dxa"/>
            </w:tcMar>
            <w:vAlign w:val="center"/>
          </w:tcPr>
          <w:p w:rsidR="006A12C0" w:rsidRDefault="007467FA">
            <w:pPr>
              <w:adjustRightInd w:val="0"/>
              <w:snapToGrid w:val="0"/>
              <w:spacing w:line="260" w:lineRule="exact"/>
              <w:jc w:val="center"/>
              <w:rPr>
                <w:rFonts w:eastAsia="仿宋_GB2312"/>
                <w:bCs/>
                <w:sz w:val="24"/>
                <w:lang w:val="en"/>
              </w:rPr>
            </w:pPr>
            <w:r>
              <w:rPr>
                <w:rFonts w:eastAsia="仿宋_GB2312"/>
                <w:bCs/>
                <w:sz w:val="24"/>
                <w:lang w:val="en"/>
              </w:rPr>
              <w:lastRenderedPageBreak/>
              <w:t>10</w:t>
            </w:r>
          </w:p>
        </w:tc>
        <w:tc>
          <w:tcPr>
            <w:tcW w:w="1926"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YY/T 0969</w:t>
            </w:r>
            <w:r>
              <w:rPr>
                <w:rFonts w:eastAsia="仿宋_GB2312" w:hint="eastAsia"/>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一次性使用医用口罩</w:t>
            </w:r>
          </w:p>
        </w:tc>
        <w:tc>
          <w:tcPr>
            <w:tcW w:w="955"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YY/T 0969</w:t>
            </w:r>
            <w:r>
              <w:rPr>
                <w:rFonts w:eastAsia="仿宋_GB2312" w:hint="eastAsia"/>
                <w:color w:val="000000"/>
                <w:sz w:val="24"/>
              </w:rPr>
              <w:t>—</w:t>
            </w:r>
            <w:r>
              <w:rPr>
                <w:rFonts w:eastAsia="仿宋_GB2312"/>
                <w:color w:val="000000"/>
                <w:sz w:val="24"/>
              </w:rPr>
              <w:t>2013</w:t>
            </w:r>
          </w:p>
        </w:tc>
        <w:tc>
          <w:tcPr>
            <w:tcW w:w="5195"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rPr>
              <w:t>本文件规定了一次性使用医用口罩的技术要求、试验方法、标志、包装、运输和贮存。本文件适用于覆盖使用者口、鼻及下颌，用于普通医疗环境中佩戴、阻隔口腔和鼻腔呼出或喷出污染物的一次性使用口罩。本文件不适用于医用防护口罩、医用外科口罩。</w:t>
            </w:r>
          </w:p>
        </w:tc>
        <w:tc>
          <w:tcPr>
            <w:tcW w:w="2108"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5</w:t>
            </w:r>
            <w:r>
              <w:rPr>
                <w:rFonts w:eastAsia="仿宋_GB2312"/>
                <w:color w:val="000000"/>
                <w:sz w:val="24"/>
                <w:lang w:val="en"/>
              </w:rPr>
              <w:t>年</w:t>
            </w:r>
            <w:r>
              <w:rPr>
                <w:rFonts w:eastAsia="仿宋_GB2312"/>
                <w:color w:val="000000"/>
                <w:sz w:val="24"/>
              </w:rPr>
              <w:t>12</w:t>
            </w:r>
            <w:r>
              <w:rPr>
                <w:rFonts w:eastAsia="仿宋_GB2312"/>
                <w:color w:val="000000"/>
                <w:sz w:val="24"/>
              </w:rPr>
              <w:t>月</w:t>
            </w:r>
            <w:r>
              <w:rPr>
                <w:rFonts w:eastAsia="仿宋_GB2312"/>
                <w:color w:val="000000"/>
                <w:sz w:val="24"/>
              </w:rPr>
              <w:t>1</w:t>
            </w:r>
            <w:r>
              <w:rPr>
                <w:rFonts w:eastAsia="仿宋_GB2312"/>
                <w:color w:val="000000"/>
                <w:sz w:val="24"/>
              </w:rPr>
              <w:t>日</w:t>
            </w:r>
          </w:p>
        </w:tc>
      </w:tr>
      <w:tr w:rsidR="006A12C0">
        <w:trPr>
          <w:cantSplit/>
          <w:trHeight w:val="3276"/>
          <w:jc w:val="center"/>
        </w:trPr>
        <w:tc>
          <w:tcPr>
            <w:tcW w:w="584" w:type="dxa"/>
            <w:tcMar>
              <w:top w:w="28" w:type="dxa"/>
              <w:left w:w="28" w:type="dxa"/>
              <w:bottom w:w="28" w:type="dxa"/>
              <w:right w:w="28" w:type="dxa"/>
            </w:tcMar>
            <w:vAlign w:val="center"/>
          </w:tcPr>
          <w:p w:rsidR="006A12C0" w:rsidRDefault="007467FA">
            <w:pPr>
              <w:adjustRightInd w:val="0"/>
              <w:snapToGrid w:val="0"/>
              <w:spacing w:line="260" w:lineRule="exact"/>
              <w:jc w:val="center"/>
              <w:rPr>
                <w:rFonts w:eastAsia="仿宋_GB2312"/>
                <w:bCs/>
                <w:sz w:val="24"/>
                <w:lang w:val="en"/>
              </w:rPr>
            </w:pPr>
            <w:r>
              <w:rPr>
                <w:rFonts w:eastAsia="仿宋_GB2312"/>
                <w:bCs/>
                <w:sz w:val="24"/>
                <w:lang w:val="en"/>
              </w:rPr>
              <w:t>11</w:t>
            </w:r>
          </w:p>
        </w:tc>
        <w:tc>
          <w:tcPr>
            <w:tcW w:w="1926"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YY/T 1842.3</w:t>
            </w:r>
            <w:r>
              <w:rPr>
                <w:rFonts w:eastAsia="仿宋_GB2312" w:hint="eastAsia"/>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医疗器械</w:t>
            </w:r>
            <w:r>
              <w:rPr>
                <w:rFonts w:eastAsia="仿宋_GB2312"/>
                <w:color w:val="000000"/>
                <w:sz w:val="24"/>
              </w:rPr>
              <w:t xml:space="preserve"> </w:t>
            </w:r>
            <w:r>
              <w:rPr>
                <w:rFonts w:eastAsia="仿宋_GB2312"/>
                <w:color w:val="000000"/>
                <w:sz w:val="24"/>
              </w:rPr>
              <w:t>医用贮液容器输送系统用连接件</w:t>
            </w:r>
            <w:r>
              <w:rPr>
                <w:rFonts w:eastAsia="仿宋_GB2312"/>
                <w:color w:val="000000"/>
                <w:sz w:val="24"/>
              </w:rPr>
              <w:t xml:space="preserve"> </w:t>
            </w:r>
            <w:r>
              <w:rPr>
                <w:rFonts w:eastAsia="仿宋_GB2312"/>
                <w:color w:val="000000"/>
                <w:sz w:val="24"/>
              </w:rPr>
              <w:t>第</w:t>
            </w:r>
            <w:r>
              <w:rPr>
                <w:rFonts w:eastAsia="仿宋_GB2312"/>
                <w:color w:val="000000"/>
                <w:sz w:val="24"/>
              </w:rPr>
              <w:t>3</w:t>
            </w:r>
            <w:r>
              <w:rPr>
                <w:rFonts w:eastAsia="仿宋_GB2312"/>
                <w:color w:val="000000"/>
                <w:sz w:val="24"/>
              </w:rPr>
              <w:t>部分：胃肠道应用</w:t>
            </w:r>
          </w:p>
        </w:tc>
        <w:tc>
          <w:tcPr>
            <w:tcW w:w="955"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w:t>
            </w:r>
            <w:bookmarkStart w:id="0" w:name="_GoBack"/>
            <w:bookmarkEnd w:id="0"/>
          </w:p>
        </w:tc>
        <w:tc>
          <w:tcPr>
            <w:tcW w:w="5195"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rPr>
              <w:t>本文件规定了预期用于胃肠道贮液容器连接件的尺寸及设计与功能特性的要求。本文件未规定使用这些连接件的医疗器械或附件的尺寸或性能要求。这些要求在专用的医疗器械或附件的标准中给出。本文件不适用于螺纹盖、皇冠盖以及螺口，因为它们不是医疗器械专用的连接件。尽管胃肠道给养器经常需要与其连接，但他们更适用于食品和饮料包装的领域。</w:t>
            </w:r>
          </w:p>
        </w:tc>
        <w:tc>
          <w:tcPr>
            <w:tcW w:w="2108"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12</w:t>
            </w:r>
            <w:r>
              <w:rPr>
                <w:rFonts w:eastAsia="仿宋_GB2312"/>
                <w:color w:val="000000"/>
                <w:sz w:val="24"/>
              </w:rPr>
              <w:t>月</w:t>
            </w:r>
            <w:r>
              <w:rPr>
                <w:rFonts w:eastAsia="仿宋_GB2312"/>
                <w:color w:val="000000"/>
                <w:sz w:val="24"/>
              </w:rPr>
              <w:t>1</w:t>
            </w:r>
            <w:r>
              <w:rPr>
                <w:rFonts w:eastAsia="仿宋_GB2312"/>
                <w:color w:val="000000"/>
                <w:sz w:val="24"/>
              </w:rPr>
              <w:t>日</w:t>
            </w:r>
          </w:p>
        </w:tc>
      </w:tr>
      <w:tr w:rsidR="006A12C0">
        <w:trPr>
          <w:cantSplit/>
          <w:trHeight w:val="3309"/>
          <w:jc w:val="center"/>
        </w:trPr>
        <w:tc>
          <w:tcPr>
            <w:tcW w:w="584" w:type="dxa"/>
            <w:tcMar>
              <w:top w:w="28" w:type="dxa"/>
              <w:left w:w="28" w:type="dxa"/>
              <w:bottom w:w="28" w:type="dxa"/>
              <w:right w:w="28" w:type="dxa"/>
            </w:tcMar>
            <w:vAlign w:val="center"/>
          </w:tcPr>
          <w:p w:rsidR="006A12C0" w:rsidRDefault="007467FA">
            <w:pPr>
              <w:adjustRightInd w:val="0"/>
              <w:snapToGrid w:val="0"/>
              <w:spacing w:line="260" w:lineRule="exact"/>
              <w:jc w:val="center"/>
              <w:rPr>
                <w:rFonts w:eastAsia="仿宋_GB2312"/>
                <w:bCs/>
                <w:sz w:val="24"/>
                <w:lang w:val="en"/>
              </w:rPr>
            </w:pPr>
            <w:r>
              <w:rPr>
                <w:rFonts w:eastAsia="仿宋_GB2312"/>
                <w:bCs/>
                <w:sz w:val="24"/>
                <w:lang w:val="en"/>
              </w:rPr>
              <w:lastRenderedPageBreak/>
              <w:t>12</w:t>
            </w:r>
          </w:p>
        </w:tc>
        <w:tc>
          <w:tcPr>
            <w:tcW w:w="1926"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YY/T 1904</w:t>
            </w:r>
            <w:r>
              <w:rPr>
                <w:rFonts w:eastAsia="仿宋_GB2312" w:hint="eastAsia"/>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医用防护眼</w:t>
            </w:r>
          </w:p>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（面）罩</w:t>
            </w:r>
          </w:p>
        </w:tc>
        <w:tc>
          <w:tcPr>
            <w:tcW w:w="955"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rPr>
              <w:t>本文件规定了医用防护眼罩和医用防护面罩的要求、试验方法、标志、包装、运输和贮存。本文件适用于在医疗工作环境下佩戴，防止患者血液、体液、分泌物等直接溅入眼、面部引起感染的一次性使用的医用防护眼罩、医用隔离眼罩（以下简称眼罩）和医用防护面罩、医用隔离面罩（以下简称面罩）。本文件不适用于非医用及其他医疗用途的眼罩和面罩。</w:t>
            </w:r>
          </w:p>
        </w:tc>
        <w:tc>
          <w:tcPr>
            <w:tcW w:w="2108"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5</w:t>
            </w:r>
            <w:r>
              <w:rPr>
                <w:rFonts w:eastAsia="仿宋_GB2312"/>
                <w:color w:val="000000"/>
                <w:sz w:val="24"/>
                <w:lang w:val="en"/>
              </w:rPr>
              <w:t>年</w:t>
            </w:r>
            <w:r>
              <w:rPr>
                <w:rFonts w:eastAsia="仿宋_GB2312"/>
                <w:color w:val="000000"/>
                <w:sz w:val="24"/>
              </w:rPr>
              <w:t>12</w:t>
            </w:r>
            <w:r>
              <w:rPr>
                <w:rFonts w:eastAsia="仿宋_GB2312"/>
                <w:color w:val="000000"/>
                <w:sz w:val="24"/>
              </w:rPr>
              <w:t>月</w:t>
            </w:r>
            <w:r>
              <w:rPr>
                <w:rFonts w:eastAsia="仿宋_GB2312"/>
                <w:color w:val="000000"/>
                <w:sz w:val="24"/>
              </w:rPr>
              <w:t>1</w:t>
            </w:r>
            <w:r>
              <w:rPr>
                <w:rFonts w:eastAsia="仿宋_GB2312"/>
                <w:color w:val="000000"/>
                <w:sz w:val="24"/>
              </w:rPr>
              <w:t>日</w:t>
            </w:r>
          </w:p>
        </w:tc>
      </w:tr>
      <w:tr w:rsidR="006A12C0">
        <w:trPr>
          <w:cantSplit/>
          <w:trHeight w:val="3187"/>
          <w:jc w:val="center"/>
        </w:trPr>
        <w:tc>
          <w:tcPr>
            <w:tcW w:w="584" w:type="dxa"/>
            <w:tcMar>
              <w:top w:w="28" w:type="dxa"/>
              <w:left w:w="28" w:type="dxa"/>
              <w:bottom w:w="28" w:type="dxa"/>
              <w:right w:w="28" w:type="dxa"/>
            </w:tcMar>
            <w:vAlign w:val="center"/>
          </w:tcPr>
          <w:p w:rsidR="006A12C0" w:rsidRDefault="007467FA">
            <w:pPr>
              <w:adjustRightInd w:val="0"/>
              <w:snapToGrid w:val="0"/>
              <w:spacing w:line="260" w:lineRule="exact"/>
              <w:jc w:val="center"/>
              <w:rPr>
                <w:rFonts w:eastAsia="仿宋_GB2312"/>
                <w:bCs/>
                <w:sz w:val="24"/>
                <w:lang w:val="en"/>
              </w:rPr>
            </w:pPr>
            <w:r>
              <w:rPr>
                <w:rFonts w:eastAsia="仿宋_GB2312"/>
                <w:bCs/>
                <w:sz w:val="24"/>
                <w:lang w:val="en"/>
              </w:rPr>
              <w:t>13</w:t>
            </w:r>
          </w:p>
        </w:tc>
        <w:tc>
          <w:tcPr>
            <w:tcW w:w="1926"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YY/T 192</w:t>
            </w:r>
            <w:r>
              <w:rPr>
                <w:rFonts w:eastAsia="仿宋_GB2312" w:hint="eastAsia"/>
                <w:color w:val="000000"/>
                <w:sz w:val="24"/>
              </w:rPr>
              <w:t>8</w:t>
            </w:r>
            <w:r>
              <w:rPr>
                <w:rFonts w:eastAsia="仿宋_GB2312" w:hint="eastAsia"/>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预期用于磁共振环境的医用电气设备的术语和</w:t>
            </w:r>
          </w:p>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分类</w:t>
            </w:r>
          </w:p>
        </w:tc>
        <w:tc>
          <w:tcPr>
            <w:tcW w:w="955"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rsidR="006A12C0" w:rsidRDefault="007467FA">
            <w:pPr>
              <w:adjustRightInd w:val="0"/>
              <w:snapToGrid w:val="0"/>
              <w:spacing w:line="32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rPr>
              <w:t>本文件界定了预期用于磁共振环境的医用电气设备的术语</w:t>
            </w:r>
            <w:r>
              <w:rPr>
                <w:rFonts w:eastAsia="仿宋_GB2312" w:hint="eastAsia"/>
                <w:color w:val="000000"/>
                <w:sz w:val="24"/>
              </w:rPr>
              <w:t>，</w:t>
            </w:r>
            <w:r>
              <w:rPr>
                <w:rFonts w:eastAsia="仿宋_GB2312"/>
                <w:color w:val="000000"/>
                <w:sz w:val="24"/>
              </w:rPr>
              <w:t>规定了预期用于磁共振环境的医用电器设备的分类。本文件适用于在磁共振环境中使用的医用电气设备。</w:t>
            </w:r>
          </w:p>
        </w:tc>
        <w:tc>
          <w:tcPr>
            <w:tcW w:w="2108" w:type="dxa"/>
            <w:tcMar>
              <w:top w:w="28" w:type="dxa"/>
              <w:left w:w="28" w:type="dxa"/>
              <w:bottom w:w="28" w:type="dxa"/>
              <w:right w:w="28" w:type="dxa"/>
            </w:tcMar>
            <w:vAlign w:val="center"/>
          </w:tcPr>
          <w:p w:rsidR="006A12C0" w:rsidRDefault="007467FA">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12</w:t>
            </w:r>
            <w:r>
              <w:rPr>
                <w:rFonts w:eastAsia="仿宋_GB2312"/>
                <w:color w:val="000000"/>
                <w:sz w:val="24"/>
              </w:rPr>
              <w:t>月</w:t>
            </w:r>
            <w:r>
              <w:rPr>
                <w:rFonts w:eastAsia="仿宋_GB2312"/>
                <w:color w:val="000000"/>
                <w:sz w:val="24"/>
              </w:rPr>
              <w:t>1</w:t>
            </w:r>
            <w:r>
              <w:rPr>
                <w:rFonts w:eastAsia="仿宋_GB2312"/>
                <w:color w:val="000000"/>
                <w:sz w:val="24"/>
              </w:rPr>
              <w:t>日</w:t>
            </w:r>
          </w:p>
        </w:tc>
      </w:tr>
    </w:tbl>
    <w:p w:rsidR="007467FA" w:rsidRDefault="007467FA" w:rsidP="003529B8">
      <w:pPr>
        <w:spacing w:line="580" w:lineRule="exact"/>
        <w:rPr>
          <w:rFonts w:eastAsia="仿宋_GB2312" w:hint="eastAsia"/>
          <w:sz w:val="28"/>
          <w:szCs w:val="28"/>
        </w:rPr>
      </w:pPr>
    </w:p>
    <w:sectPr w:rsidR="007467FA" w:rsidSect="003529B8">
      <w:footerReference w:type="default" r:id="rId7"/>
      <w:pgSz w:w="16838" w:h="11906" w:orient="landscape"/>
      <w:pgMar w:top="1531" w:right="1928" w:bottom="1531" w:left="1701" w:header="851" w:footer="124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2BB" w:rsidRDefault="003642BB">
      <w:r>
        <w:separator/>
      </w:r>
    </w:p>
  </w:endnote>
  <w:endnote w:type="continuationSeparator" w:id="0">
    <w:p w:rsidR="003642BB" w:rsidRDefault="0036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C0" w:rsidRDefault="009E1131">
    <w:pPr>
      <w:pStyle w:val="a7"/>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254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A12C0" w:rsidRDefault="007467FA">
                          <w:pPr>
                            <w:pStyle w:val="a7"/>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529B8">
                            <w:rPr>
                              <w:noProof/>
                              <w:sz w:val="28"/>
                              <w:szCs w:val="28"/>
                            </w:rPr>
                            <w:t>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6A12C0" w:rsidRDefault="007467FA">
                    <w:pPr>
                      <w:pStyle w:val="a7"/>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529B8">
                      <w:rPr>
                        <w:noProof/>
                        <w:sz w:val="28"/>
                        <w:szCs w:val="28"/>
                      </w:rPr>
                      <w:t>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2BB" w:rsidRDefault="003642BB">
      <w:r>
        <w:separator/>
      </w:r>
    </w:p>
  </w:footnote>
  <w:footnote w:type="continuationSeparator" w:id="0">
    <w:p w:rsidR="003642BB" w:rsidRDefault="00364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40CA07"/>
    <w:multiLevelType w:val="singleLevel"/>
    <w:tmpl w:val="8540CA07"/>
    <w:lvl w:ilvl="0">
      <w:start w:val="1"/>
      <w:numFmt w:val="chineseCounting"/>
      <w:suff w:val="nothing"/>
      <w:lvlText w:val="%1、"/>
      <w:lvlJc w:val="left"/>
      <w:rPr>
        <w:rFonts w:ascii="黑体" w:eastAsia="黑体" w:hAnsi="黑体" w:cs="黑体" w:hint="eastAsia"/>
        <w:sz w:val="32"/>
        <w:szCs w:val="32"/>
      </w:rPr>
    </w:lvl>
  </w:abstractNum>
  <w:abstractNum w:abstractNumId="1" w15:restartNumberingAfterBreak="0">
    <w:nsid w:val="E7D81D0E"/>
    <w:multiLevelType w:val="singleLevel"/>
    <w:tmpl w:val="E7D81D0E"/>
    <w:lvl w:ilvl="0">
      <w:start w:val="5"/>
      <w:numFmt w:val="chineseCounting"/>
      <w:suff w:val="nothing"/>
      <w:lvlText w:val="%1、"/>
      <w:lvlJc w:val="left"/>
      <w:rPr>
        <w:rFonts w:hint="eastAsia"/>
      </w:rPr>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7"/>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6DBF04F4"/>
    <w:multiLevelType w:val="multilevel"/>
    <w:tmpl w:val="6DBF04F4"/>
    <w:lvl w:ilvl="0">
      <w:start w:val="1"/>
      <w:numFmt w:val="none"/>
      <w:pStyle w:val="a0"/>
      <w:suff w:val="nothing"/>
      <w:lvlText w:val="%1注："/>
      <w:lvlJc w:val="left"/>
      <w:pPr>
        <w:ind w:left="788" w:hanging="363"/>
      </w:pPr>
      <w:rPr>
        <w:rFonts w:ascii="黑体" w:eastAsia="黑体" w:hAnsi="Times New Roman" w:hint="eastAsia"/>
        <w:b w:val="0"/>
        <w:i w:val="0"/>
        <w:sz w:val="18"/>
      </w:rPr>
    </w:lvl>
    <w:lvl w:ilvl="1">
      <w:start w:val="1"/>
      <w:numFmt w:val="lowerLetter"/>
      <w:lvlText w:val="%2)"/>
      <w:lvlJc w:val="left"/>
      <w:pPr>
        <w:tabs>
          <w:tab w:val="num" w:pos="1202"/>
        </w:tabs>
        <w:ind w:left="788" w:hanging="363"/>
      </w:pPr>
      <w:rPr>
        <w:rFonts w:hint="eastAsia"/>
        <w:lang w:val="en-US"/>
      </w:rPr>
    </w:lvl>
    <w:lvl w:ilvl="2">
      <w:start w:val="1"/>
      <w:numFmt w:val="lowerRoman"/>
      <w:lvlText w:val="%3."/>
      <w:lvlJc w:val="right"/>
      <w:pPr>
        <w:tabs>
          <w:tab w:val="num" w:pos="1202"/>
        </w:tabs>
        <w:ind w:left="788" w:hanging="363"/>
      </w:pPr>
      <w:rPr>
        <w:rFonts w:hint="eastAsia"/>
      </w:rPr>
    </w:lvl>
    <w:lvl w:ilvl="3">
      <w:start w:val="1"/>
      <w:numFmt w:val="decimal"/>
      <w:lvlText w:val="%4."/>
      <w:lvlJc w:val="left"/>
      <w:pPr>
        <w:tabs>
          <w:tab w:val="num" w:pos="1202"/>
        </w:tabs>
        <w:ind w:left="788" w:hanging="363"/>
      </w:pPr>
      <w:rPr>
        <w:rFonts w:hint="eastAsia"/>
      </w:rPr>
    </w:lvl>
    <w:lvl w:ilvl="4">
      <w:start w:val="1"/>
      <w:numFmt w:val="lowerLetter"/>
      <w:lvlText w:val="%5)"/>
      <w:lvlJc w:val="left"/>
      <w:pPr>
        <w:tabs>
          <w:tab w:val="num" w:pos="1202"/>
        </w:tabs>
        <w:ind w:left="788" w:hanging="363"/>
      </w:pPr>
      <w:rPr>
        <w:rFonts w:hint="eastAsia"/>
      </w:rPr>
    </w:lvl>
    <w:lvl w:ilvl="5">
      <w:start w:val="1"/>
      <w:numFmt w:val="lowerRoman"/>
      <w:lvlText w:val="%6."/>
      <w:lvlJc w:val="right"/>
      <w:pPr>
        <w:tabs>
          <w:tab w:val="num" w:pos="1202"/>
        </w:tabs>
        <w:ind w:left="788" w:hanging="363"/>
      </w:pPr>
      <w:rPr>
        <w:rFonts w:hint="eastAsia"/>
      </w:rPr>
    </w:lvl>
    <w:lvl w:ilvl="6">
      <w:start w:val="1"/>
      <w:numFmt w:val="decimal"/>
      <w:lvlText w:val="%7."/>
      <w:lvlJc w:val="left"/>
      <w:pPr>
        <w:tabs>
          <w:tab w:val="num" w:pos="1202"/>
        </w:tabs>
        <w:ind w:left="788" w:hanging="363"/>
      </w:pPr>
      <w:rPr>
        <w:rFonts w:hint="eastAsia"/>
      </w:rPr>
    </w:lvl>
    <w:lvl w:ilvl="7">
      <w:start w:val="1"/>
      <w:numFmt w:val="lowerLetter"/>
      <w:lvlText w:val="%8)"/>
      <w:lvlJc w:val="left"/>
      <w:pPr>
        <w:tabs>
          <w:tab w:val="num" w:pos="1202"/>
        </w:tabs>
        <w:ind w:left="788" w:hanging="363"/>
      </w:pPr>
      <w:rPr>
        <w:rFonts w:hint="eastAsia"/>
      </w:rPr>
    </w:lvl>
    <w:lvl w:ilvl="8">
      <w:start w:val="1"/>
      <w:numFmt w:val="lowerRoman"/>
      <w:lvlText w:val="%9."/>
      <w:lvlJc w:val="right"/>
      <w:pPr>
        <w:tabs>
          <w:tab w:val="num" w:pos="1202"/>
        </w:tabs>
        <w:ind w:left="788" w:hanging="363"/>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8C980C0B"/>
    <w:rsid w:val="9E5FF5E8"/>
    <w:rsid w:val="9F1DCA67"/>
    <w:rsid w:val="9F363F60"/>
    <w:rsid w:val="9F7EB7B4"/>
    <w:rsid w:val="9F9F3A1B"/>
    <w:rsid w:val="9FB970C8"/>
    <w:rsid w:val="9FFBAF51"/>
    <w:rsid w:val="A6FF3429"/>
    <w:rsid w:val="AB1F3A23"/>
    <w:rsid w:val="ABDAB27E"/>
    <w:rsid w:val="ABF20D79"/>
    <w:rsid w:val="ABFF77E8"/>
    <w:rsid w:val="B7870943"/>
    <w:rsid w:val="B7FFBCA5"/>
    <w:rsid w:val="BAB95A84"/>
    <w:rsid w:val="BAFF6F51"/>
    <w:rsid w:val="BBB9F369"/>
    <w:rsid w:val="BBDD153A"/>
    <w:rsid w:val="BD166960"/>
    <w:rsid w:val="BDFFBC61"/>
    <w:rsid w:val="BE6F627F"/>
    <w:rsid w:val="BEFB0230"/>
    <w:rsid w:val="BF551105"/>
    <w:rsid w:val="BF67F8B6"/>
    <w:rsid w:val="BF73A83F"/>
    <w:rsid w:val="BFD3D606"/>
    <w:rsid w:val="BFDF5118"/>
    <w:rsid w:val="C5FF7349"/>
    <w:rsid w:val="C8B9F53D"/>
    <w:rsid w:val="CDD7952E"/>
    <w:rsid w:val="CFBFE20F"/>
    <w:rsid w:val="CFFF7D54"/>
    <w:rsid w:val="CFFFB584"/>
    <w:rsid w:val="D1EB94EA"/>
    <w:rsid w:val="D3DCFE1C"/>
    <w:rsid w:val="D69597F6"/>
    <w:rsid w:val="D72D1B34"/>
    <w:rsid w:val="D93F9887"/>
    <w:rsid w:val="DA3EDFD8"/>
    <w:rsid w:val="DB5DB487"/>
    <w:rsid w:val="DD3F802C"/>
    <w:rsid w:val="DDFFFB85"/>
    <w:rsid w:val="DEAF767F"/>
    <w:rsid w:val="DF5FC5D8"/>
    <w:rsid w:val="DF744A54"/>
    <w:rsid w:val="DFAFD1E4"/>
    <w:rsid w:val="DFC46519"/>
    <w:rsid w:val="DFC74F77"/>
    <w:rsid w:val="DFE76AAA"/>
    <w:rsid w:val="DFFAD2FC"/>
    <w:rsid w:val="DFFF5058"/>
    <w:rsid w:val="DFFFE76B"/>
    <w:rsid w:val="E5C3528A"/>
    <w:rsid w:val="E5FC26BE"/>
    <w:rsid w:val="E5FFCDA7"/>
    <w:rsid w:val="E6FBFE2A"/>
    <w:rsid w:val="E73BAF34"/>
    <w:rsid w:val="EBBF09B7"/>
    <w:rsid w:val="EBCEF341"/>
    <w:rsid w:val="EE7B7438"/>
    <w:rsid w:val="EF92AD42"/>
    <w:rsid w:val="EFBBAB9D"/>
    <w:rsid w:val="EFBF3807"/>
    <w:rsid w:val="EFBFFD22"/>
    <w:rsid w:val="EFDD46C7"/>
    <w:rsid w:val="EFDDA2D8"/>
    <w:rsid w:val="EFFECA47"/>
    <w:rsid w:val="EFFF6998"/>
    <w:rsid w:val="F1CEE66B"/>
    <w:rsid w:val="F4F7B3CA"/>
    <w:rsid w:val="F4F7C97B"/>
    <w:rsid w:val="F5FFD82D"/>
    <w:rsid w:val="F7255B95"/>
    <w:rsid w:val="F77FCD8C"/>
    <w:rsid w:val="F7B938F5"/>
    <w:rsid w:val="F7BFF594"/>
    <w:rsid w:val="F7EDD3C7"/>
    <w:rsid w:val="F7F3C623"/>
    <w:rsid w:val="F8BF22A6"/>
    <w:rsid w:val="F9FD7385"/>
    <w:rsid w:val="FAE196F2"/>
    <w:rsid w:val="FAFF34F2"/>
    <w:rsid w:val="FB39C51F"/>
    <w:rsid w:val="FB56DAE2"/>
    <w:rsid w:val="FB6E7AD4"/>
    <w:rsid w:val="FB7731E7"/>
    <w:rsid w:val="FBFE0ABA"/>
    <w:rsid w:val="FBFEB5A9"/>
    <w:rsid w:val="FC3739E5"/>
    <w:rsid w:val="FC9F1606"/>
    <w:rsid w:val="FD1A91CA"/>
    <w:rsid w:val="FD6A4C9B"/>
    <w:rsid w:val="FD7F5F44"/>
    <w:rsid w:val="FDBFD066"/>
    <w:rsid w:val="FDC77B59"/>
    <w:rsid w:val="FDFB6846"/>
    <w:rsid w:val="FDFEF8C2"/>
    <w:rsid w:val="FDFFDE3F"/>
    <w:rsid w:val="FE3E7A25"/>
    <w:rsid w:val="FEAFC81A"/>
    <w:rsid w:val="FEBB2E35"/>
    <w:rsid w:val="FED52EA5"/>
    <w:rsid w:val="FEF5A3FD"/>
    <w:rsid w:val="FEF74AB1"/>
    <w:rsid w:val="FEFD5C2B"/>
    <w:rsid w:val="FEFF4E9E"/>
    <w:rsid w:val="FEFF65FC"/>
    <w:rsid w:val="FEFF79D9"/>
    <w:rsid w:val="FF2F4ABE"/>
    <w:rsid w:val="FF3C9F58"/>
    <w:rsid w:val="FF3DE74B"/>
    <w:rsid w:val="FF4A77F1"/>
    <w:rsid w:val="FF57831F"/>
    <w:rsid w:val="FF6B5CE6"/>
    <w:rsid w:val="FF7E8F37"/>
    <w:rsid w:val="FF8F0715"/>
    <w:rsid w:val="FFB5C555"/>
    <w:rsid w:val="FFBACE75"/>
    <w:rsid w:val="FFCFB226"/>
    <w:rsid w:val="FFD4DE76"/>
    <w:rsid w:val="FFDFF673"/>
    <w:rsid w:val="FFF334FB"/>
    <w:rsid w:val="FFF7B1F0"/>
    <w:rsid w:val="FFF7FDB1"/>
    <w:rsid w:val="FFFC8026"/>
    <w:rsid w:val="FFFFBF2E"/>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9B8"/>
    <w:rsid w:val="00352FFE"/>
    <w:rsid w:val="0036326B"/>
    <w:rsid w:val="003642B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A12C0"/>
    <w:rsid w:val="006D3D5E"/>
    <w:rsid w:val="006E0E17"/>
    <w:rsid w:val="00727597"/>
    <w:rsid w:val="00735046"/>
    <w:rsid w:val="007467FA"/>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8C7CE5"/>
    <w:rsid w:val="00926229"/>
    <w:rsid w:val="00944679"/>
    <w:rsid w:val="0094647A"/>
    <w:rsid w:val="0097437D"/>
    <w:rsid w:val="009869EE"/>
    <w:rsid w:val="00991BF3"/>
    <w:rsid w:val="009A1829"/>
    <w:rsid w:val="009A2DB4"/>
    <w:rsid w:val="009D7C65"/>
    <w:rsid w:val="009E1131"/>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4EDCF16"/>
    <w:rsid w:val="09DFFE5F"/>
    <w:rsid w:val="0B182CF1"/>
    <w:rsid w:val="0BCF05B9"/>
    <w:rsid w:val="0BEC7EA0"/>
    <w:rsid w:val="0DFF2E91"/>
    <w:rsid w:val="0F9E0E77"/>
    <w:rsid w:val="0FBFA4A7"/>
    <w:rsid w:val="1069F992"/>
    <w:rsid w:val="13F5CCB7"/>
    <w:rsid w:val="13FFE1F5"/>
    <w:rsid w:val="174EE97C"/>
    <w:rsid w:val="1976331D"/>
    <w:rsid w:val="1A06DD94"/>
    <w:rsid w:val="1CD9F083"/>
    <w:rsid w:val="1DF97A3C"/>
    <w:rsid w:val="1F79C15A"/>
    <w:rsid w:val="286D3979"/>
    <w:rsid w:val="2A8D465A"/>
    <w:rsid w:val="2AF76C55"/>
    <w:rsid w:val="2CDFBB8F"/>
    <w:rsid w:val="2FDB2C3C"/>
    <w:rsid w:val="37F7377E"/>
    <w:rsid w:val="39EB7163"/>
    <w:rsid w:val="3A630078"/>
    <w:rsid w:val="3ABF2CE3"/>
    <w:rsid w:val="3ADF748B"/>
    <w:rsid w:val="3B9E5634"/>
    <w:rsid w:val="3BDDD566"/>
    <w:rsid w:val="3BF17F8D"/>
    <w:rsid w:val="3DFAEF09"/>
    <w:rsid w:val="3E15A3E3"/>
    <w:rsid w:val="3EAF9B9C"/>
    <w:rsid w:val="3EFE0C1D"/>
    <w:rsid w:val="3FC7A23A"/>
    <w:rsid w:val="3FE5A5C3"/>
    <w:rsid w:val="3FEF4D86"/>
    <w:rsid w:val="3FFF42C5"/>
    <w:rsid w:val="3FFFD066"/>
    <w:rsid w:val="43E2636A"/>
    <w:rsid w:val="46EF17AB"/>
    <w:rsid w:val="4C1A048F"/>
    <w:rsid w:val="4CEFCA4D"/>
    <w:rsid w:val="55DE4CE5"/>
    <w:rsid w:val="5772979D"/>
    <w:rsid w:val="578DD520"/>
    <w:rsid w:val="57BFF186"/>
    <w:rsid w:val="57CFC640"/>
    <w:rsid w:val="591D3208"/>
    <w:rsid w:val="59DBB5B2"/>
    <w:rsid w:val="5B78C133"/>
    <w:rsid w:val="5B9F0630"/>
    <w:rsid w:val="5BAE7BD2"/>
    <w:rsid w:val="5BFE56B7"/>
    <w:rsid w:val="5D8F40E6"/>
    <w:rsid w:val="5DEDD254"/>
    <w:rsid w:val="5E6684DB"/>
    <w:rsid w:val="5F297A5F"/>
    <w:rsid w:val="5F981978"/>
    <w:rsid w:val="5FAB9DE0"/>
    <w:rsid w:val="5FBBB501"/>
    <w:rsid w:val="5FCC98C8"/>
    <w:rsid w:val="5FE79E9B"/>
    <w:rsid w:val="5FF68EF3"/>
    <w:rsid w:val="5FFB4780"/>
    <w:rsid w:val="62DFE336"/>
    <w:rsid w:val="63E446CD"/>
    <w:rsid w:val="65F75F2E"/>
    <w:rsid w:val="66BDBC0C"/>
    <w:rsid w:val="679F1A80"/>
    <w:rsid w:val="67F8EB6F"/>
    <w:rsid w:val="6BB33785"/>
    <w:rsid w:val="6BEC5FFE"/>
    <w:rsid w:val="6BFD1100"/>
    <w:rsid w:val="6EDD1EB7"/>
    <w:rsid w:val="6EFF072E"/>
    <w:rsid w:val="6F8D699A"/>
    <w:rsid w:val="6FC7E760"/>
    <w:rsid w:val="6FEF9F97"/>
    <w:rsid w:val="6FF92DB5"/>
    <w:rsid w:val="6FFF1B20"/>
    <w:rsid w:val="6FFF40FD"/>
    <w:rsid w:val="71E7963A"/>
    <w:rsid w:val="729B7195"/>
    <w:rsid w:val="731E9D8B"/>
    <w:rsid w:val="7373461E"/>
    <w:rsid w:val="73DBFEA8"/>
    <w:rsid w:val="742E66F2"/>
    <w:rsid w:val="746FDB4A"/>
    <w:rsid w:val="74FF90CE"/>
    <w:rsid w:val="75963A8A"/>
    <w:rsid w:val="764F1775"/>
    <w:rsid w:val="76F3E4F4"/>
    <w:rsid w:val="77556D3F"/>
    <w:rsid w:val="77EF8F14"/>
    <w:rsid w:val="77FE482A"/>
    <w:rsid w:val="77FF90E6"/>
    <w:rsid w:val="77FFE8F2"/>
    <w:rsid w:val="797E7CC4"/>
    <w:rsid w:val="79B6CF9B"/>
    <w:rsid w:val="79FF1E38"/>
    <w:rsid w:val="7A6D128D"/>
    <w:rsid w:val="7A7A7E8C"/>
    <w:rsid w:val="7A9B235C"/>
    <w:rsid w:val="7AE77EF5"/>
    <w:rsid w:val="7B5EE258"/>
    <w:rsid w:val="7B6994C6"/>
    <w:rsid w:val="7BADB4C4"/>
    <w:rsid w:val="7BB7F0A3"/>
    <w:rsid w:val="7BCDB9A9"/>
    <w:rsid w:val="7BD6DAE1"/>
    <w:rsid w:val="7BEBA68F"/>
    <w:rsid w:val="7D7C4B2F"/>
    <w:rsid w:val="7DBFF381"/>
    <w:rsid w:val="7DFD4290"/>
    <w:rsid w:val="7E638158"/>
    <w:rsid w:val="7E76AFBB"/>
    <w:rsid w:val="7EAD6917"/>
    <w:rsid w:val="7EB9F312"/>
    <w:rsid w:val="7ED62E8A"/>
    <w:rsid w:val="7F0F2AE0"/>
    <w:rsid w:val="7F5B6BD1"/>
    <w:rsid w:val="7F7F1D18"/>
    <w:rsid w:val="7FBF4700"/>
    <w:rsid w:val="7FBFFC17"/>
    <w:rsid w:val="7FD3E017"/>
    <w:rsid w:val="7FD714F7"/>
    <w:rsid w:val="7FDB2453"/>
    <w:rsid w:val="7FDF265A"/>
    <w:rsid w:val="7FDFF8C7"/>
    <w:rsid w:val="7FEF7085"/>
    <w:rsid w:val="7FEFB678"/>
    <w:rsid w:val="7FFD05FF"/>
    <w:rsid w:val="7FFE2FD4"/>
    <w:rsid w:val="7FFF35C9"/>
    <w:rsid w:val="7FFFB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47C68D-36A4-4142-A73F-F43C0255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pPr>
      <w:shd w:val="clear" w:color="auto" w:fill="000080"/>
    </w:pPr>
  </w:style>
  <w:style w:type="paragraph" w:styleId="a6">
    <w:name w:val="Balloon Text"/>
    <w:basedOn w:val="a1"/>
    <w:semiHidden/>
    <w:rPr>
      <w:sz w:val="18"/>
      <w:szCs w:val="18"/>
    </w:rPr>
  </w:style>
  <w:style w:type="paragraph" w:styleId="a7">
    <w:name w:val="footer"/>
    <w:basedOn w:val="a1"/>
    <w:link w:val="Char"/>
    <w:uiPriority w:val="99"/>
    <w:pPr>
      <w:tabs>
        <w:tab w:val="center" w:pos="4153"/>
        <w:tab w:val="right" w:pos="8306"/>
      </w:tabs>
      <w:snapToGrid w:val="0"/>
      <w:jc w:val="left"/>
    </w:pPr>
    <w:rPr>
      <w:sz w:val="18"/>
      <w:szCs w:val="18"/>
    </w:rPr>
  </w:style>
  <w:style w:type="character" w:customStyle="1" w:styleId="Char">
    <w:name w:val="页脚 Char"/>
    <w:link w:val="a7"/>
    <w:uiPriority w:val="99"/>
    <w:rPr>
      <w:kern w:val="2"/>
      <w:sz w:val="18"/>
      <w:szCs w:val="18"/>
    </w:rPr>
  </w:style>
  <w:style w:type="paragraph" w:styleId="a8">
    <w:name w:val="header"/>
    <w:basedOn w:val="a1"/>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uiPriority w:val="99"/>
    <w:rPr>
      <w:kern w:val="2"/>
      <w:sz w:val="18"/>
      <w:szCs w:val="18"/>
    </w:rPr>
  </w:style>
  <w:style w:type="character" w:styleId="a9">
    <w:name w:val="page number"/>
    <w:basedOn w:val="a2"/>
  </w:style>
  <w:style w:type="paragraph" w:customStyle="1" w:styleId="a0">
    <w:name w:val="注："/>
    <w:next w:val="a1"/>
    <w:qFormat/>
    <w:pPr>
      <w:widowControl w:val="0"/>
      <w:numPr>
        <w:numId w:val="1"/>
      </w:numPr>
      <w:autoSpaceDE w:val="0"/>
      <w:autoSpaceDN w:val="0"/>
      <w:jc w:val="both"/>
    </w:pPr>
    <w:rPr>
      <w:rFonts w:ascii="宋体"/>
      <w:sz w:val="18"/>
      <w:szCs w:val="18"/>
    </w:rPr>
  </w:style>
  <w:style w:type="paragraph" w:customStyle="1" w:styleId="a">
    <w:name w:val="一级条标题"/>
    <w:next w:val="aa"/>
    <w:qFormat/>
    <w:pPr>
      <w:numPr>
        <w:ilvl w:val="1"/>
        <w:numId w:val="2"/>
      </w:numPr>
      <w:spacing w:beforeLines="50" w:afterLines="50"/>
      <w:outlineLvl w:val="2"/>
    </w:pPr>
    <w:rPr>
      <w:rFonts w:ascii="黑体" w:eastAsia="黑体"/>
      <w:sz w:val="21"/>
      <w:szCs w:val="21"/>
    </w:rPr>
  </w:style>
  <w:style w:type="paragraph" w:customStyle="1" w:styleId="aa">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1">
    <w:name w:val="列出段落1"/>
    <w:basedOn w:val="a1"/>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401</Words>
  <Characters>2288</Characters>
  <Application>Microsoft Office Word</Application>
  <DocSecurity>0</DocSecurity>
  <Lines>19</Lines>
  <Paragraphs>5</Paragraphs>
  <ScaleCrop>false</ScaleCrop>
  <Company>Xtzj.Com</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2023-11-23T16:38:00Z</cp:lastPrinted>
  <dcterms:created xsi:type="dcterms:W3CDTF">2023-11-24T02:29:00Z</dcterms:created>
  <dcterms:modified xsi:type="dcterms:W3CDTF">2023-11-24T02:46:00Z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6E67B052A1F386CB7E085F656DA3D0B2</vt:lpwstr>
  </property>
</Properties>
</file>