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  <w:tr w14:paraId="339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57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DFC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90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心诺普医疗技术（北京）有限公司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473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AF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7EAF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国械注准20253010184</w:t>
            </w:r>
          </w:p>
        </w:tc>
      </w:tr>
      <w:tr w14:paraId="7AE74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A9A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34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人CDO1/AJAP1/GALR1基因甲基化检测试剂盒（荧光PCR法）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DA0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武汉凯德维斯生物技术有限公司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99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E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</w:t>
            </w:r>
          </w:p>
        </w:tc>
        <w:tc>
          <w:tcPr>
            <w:tcW w:w="1951" w:type="dxa"/>
            <w:vAlign w:val="center"/>
          </w:tcPr>
          <w:p w14:paraId="76B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国械注准20253400185</w:t>
            </w:r>
          </w:p>
        </w:tc>
      </w:tr>
      <w:tr w14:paraId="3E61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724" w:type="dxa"/>
            <w:vAlign w:val="center"/>
          </w:tcPr>
          <w:p w14:paraId="62FF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064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多焦点人工晶状体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4E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天津世纪康泰生物医学工程有限公司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0C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4E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</w:t>
            </w:r>
          </w:p>
        </w:tc>
        <w:tc>
          <w:tcPr>
            <w:tcW w:w="1951" w:type="dxa"/>
            <w:vAlign w:val="center"/>
          </w:tcPr>
          <w:p w14:paraId="5203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4D56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20253160240</w:t>
            </w:r>
          </w:p>
        </w:tc>
      </w:tr>
      <w:tr w14:paraId="2B32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724" w:type="dxa"/>
            <w:vAlign w:val="center"/>
          </w:tcPr>
          <w:p w14:paraId="224FF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8B2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紫杉醇药物涂层外周球囊导管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F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TriReme Medical,LLC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208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2025-1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DD62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154F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</w:t>
            </w:r>
          </w:p>
          <w:p w14:paraId="639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20253030062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6E4F0B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012BEA"/>
    <w:rsid w:val="5B9E24EE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C1243B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83E1038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41</Pages>
  <Words>3796</Words>
  <Characters>6151</Characters>
  <Lines>120</Lines>
  <Paragraphs>33</Paragraphs>
  <TotalTime>2</TotalTime>
  <ScaleCrop>false</ScaleCrop>
  <LinksUpToDate>false</LinksUpToDate>
  <CharactersWithSpaces>6163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2025-02-19T09:03:08Z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