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7C781">
      <w:pPr>
        <w:pStyle w:val="2"/>
        <w:ind w:left="0" w:leftChars="0" w:firstLine="0" w:firstLineChars="0"/>
        <w:jc w:val="both"/>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2</w:t>
      </w:r>
    </w:p>
    <w:p w14:paraId="6B3BA8DF">
      <w:pPr>
        <w:pStyle w:val="2"/>
        <w:ind w:left="0" w:leftChars="0" w:firstLine="0" w:firstLineChars="0"/>
        <w:jc w:val="both"/>
        <w:rPr>
          <w:rFonts w:hint="default" w:ascii="Times New Roman" w:hAnsi="Times New Roman" w:eastAsia="黑体" w:cs="Times New Roman"/>
          <w:sz w:val="40"/>
          <w:szCs w:val="40"/>
          <w:lang w:val="en-US" w:eastAsia="zh-CN"/>
        </w:rPr>
      </w:pPr>
    </w:p>
    <w:p w14:paraId="782B76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jc w:val="center"/>
        <w:rPr>
          <w:rFonts w:ascii="微软雅黑" w:hAnsi="微软雅黑" w:eastAsia="微软雅黑" w:cs="微软雅黑"/>
          <w:i w:val="0"/>
          <w:iCs w:val="0"/>
          <w:caps w:val="0"/>
          <w:color w:val="000000"/>
          <w:spacing w:val="0"/>
          <w:sz w:val="32"/>
          <w:szCs w:val="32"/>
        </w:rPr>
      </w:pPr>
      <w:r>
        <w:rPr>
          <w:rFonts w:hint="eastAsia" w:ascii="方正小标宋简体" w:hAnsi="方正小标宋简体" w:eastAsia="方正小标宋简体" w:cs="方正小标宋简体"/>
          <w:i w:val="0"/>
          <w:iCs w:val="0"/>
          <w:caps w:val="0"/>
          <w:color w:val="000000"/>
          <w:spacing w:val="0"/>
          <w:sz w:val="44"/>
          <w:szCs w:val="44"/>
          <w:shd w:val="clear" w:fill="FFFFFF"/>
        </w:rPr>
        <w:t>统一换发药品批准文号注意事项</w:t>
      </w:r>
    </w:p>
    <w:p w14:paraId="0E529F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rPr>
        <w:t xml:space="preserve">    </w:t>
      </w:r>
      <w:r>
        <w:rPr>
          <w:rFonts w:hint="eastAsia" w:ascii="仿宋_GB2312" w:hAnsi="仿宋_GB2312" w:eastAsia="仿宋_GB2312" w:cs="仿宋_GB2312"/>
          <w:i w:val="0"/>
          <w:iCs w:val="0"/>
          <w:caps w:val="0"/>
          <w:color w:val="000000"/>
          <w:spacing w:val="0"/>
          <w:sz w:val="32"/>
          <w:szCs w:val="32"/>
          <w:shd w:val="clear" w:fill="FFFFFF"/>
          <w:lang w:val="en-US" w:eastAsia="zh-CN"/>
        </w:rPr>
        <w:t xml:space="preserve"> </w:t>
      </w:r>
    </w:p>
    <w:p w14:paraId="6F9307E4">
      <w:pPr>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 xml:space="preserve">   </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省级药品监督管理局须仔细核对药品名称、规格、生产企业名称、批准文号等内容，如发现有误，应立即上报我局药品注册司，以便作出相应的修改。核对无误后，请及时将批准文号转发至辖区内相应的药品生产企业，并要求企业做好以下工作：</w:t>
      </w:r>
    </w:p>
    <w:p w14:paraId="462A17DA">
      <w:pPr>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一、药品生产企业在收到省级药品监督管理局转发的药品批准文号后，须仔细核对药品名称、规格、生产企业名称、批准文号等内容，如发现有误，应立即与所在地省级药品监督管理局联系。</w:t>
      </w:r>
    </w:p>
    <w:p w14:paraId="2EB52A71">
      <w:pPr>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药品生产企业应在批准文号换发通知下达后6个月内，完成新旧包装、标签和说明书的更换工作。在批准文号换发6个月后生产的药品，不得再使用原不符合要求和规定的包装、标签和说明书，此前已进入流通领域的药品，可在其有效期内继续流通、使用。</w:t>
      </w:r>
      <w:r>
        <w:rPr>
          <w:rFonts w:hint="eastAsia" w:ascii="仿宋_GB2312" w:hAnsi="仿宋_GB2312" w:eastAsia="仿宋_GB2312" w:cs="仿宋_GB2312"/>
          <w:sz w:val="32"/>
          <w:szCs w:val="40"/>
        </w:rPr>
        <w:br w:type="textWrapping"/>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换发药品批准文号时间以省级药品监督管理部门通知药品生产企业的时间为准。</w:t>
      </w:r>
    </w:p>
    <w:p w14:paraId="33169E03">
      <w:pPr>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三、对于未提供药品包装、标签和说明书实样的企业，须在换发批准文号后3个月内将实样报省级局备案。</w:t>
      </w:r>
    </w:p>
    <w:p w14:paraId="2DBDBEAC">
      <w:pPr>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我局药品注册司曾于2002年2月份将化学药品的说明书样稿以及中药和蒙、藏、维药品种说明书中［主要成份］项的内容公布在网站上，经征求多方意见并商有关专家，对其中的部分内容做了相应的修改，修改后的内容业已公布在国家药品监督管理局和中国药品生物制品检定所的网站上，网址分别为</w:t>
      </w:r>
      <w:r>
        <w:rPr>
          <w:rFonts w:hint="eastAsia" w:ascii="仿宋_GB2312" w:hAnsi="仿宋_GB2312" w:eastAsia="仿宋_GB2312" w:cs="仿宋_GB2312"/>
          <w:sz w:val="32"/>
          <w:szCs w:val="40"/>
        </w:rPr>
        <w:drawing>
          <wp:inline distT="0" distB="0" distL="114300" distR="114300">
            <wp:extent cx="1552575" cy="247650"/>
            <wp:effectExtent l="0" t="0" r="9525" b="0"/>
            <wp:docPr id="4" name="图片 3" descr="1715649127664015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1715649127664015270.png"/>
                    <pic:cNvPicPr>
                      <a:picLocks noChangeAspect="1"/>
                    </pic:cNvPicPr>
                  </pic:nvPicPr>
                  <pic:blipFill>
                    <a:blip r:embed="rId4"/>
                    <a:stretch>
                      <a:fillRect/>
                    </a:stretch>
                  </pic:blipFill>
                  <pic:spPr>
                    <a:xfrm>
                      <a:off x="0" y="0"/>
                      <a:ext cx="1552575" cy="247650"/>
                    </a:xfrm>
                    <a:prstGeom prst="rect">
                      <a:avLst/>
                    </a:prstGeom>
                    <a:noFill/>
                    <a:ln w="9525">
                      <a:noFill/>
                    </a:ln>
                  </pic:spPr>
                </pic:pic>
              </a:graphicData>
            </a:graphic>
          </wp:inline>
        </w:drawing>
      </w:r>
      <w:r>
        <w:rPr>
          <w:rFonts w:hint="eastAsia" w:ascii="仿宋_GB2312" w:hAnsi="仿宋_GB2312" w:eastAsia="仿宋_GB2312" w:cs="仿宋_GB2312"/>
          <w:sz w:val="32"/>
          <w:szCs w:val="40"/>
        </w:rPr>
        <w:t>和</w:t>
      </w:r>
      <w:r>
        <w:rPr>
          <w:rFonts w:hint="eastAsia" w:ascii="仿宋_GB2312" w:hAnsi="仿宋_GB2312" w:eastAsia="仿宋_GB2312" w:cs="仿宋_GB2312"/>
          <w:sz w:val="32"/>
          <w:szCs w:val="40"/>
        </w:rPr>
        <w:drawing>
          <wp:inline distT="0" distB="0" distL="114300" distR="114300">
            <wp:extent cx="1781175" cy="276225"/>
            <wp:effectExtent l="0" t="0" r="9525" b="9525"/>
            <wp:docPr id="5" name="图片 4" descr="1715649143080035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1715649143080035881.png"/>
                    <pic:cNvPicPr>
                      <a:picLocks noChangeAspect="1"/>
                    </pic:cNvPicPr>
                  </pic:nvPicPr>
                  <pic:blipFill>
                    <a:blip r:embed="rId5"/>
                    <a:stretch>
                      <a:fillRect/>
                    </a:stretch>
                  </pic:blipFill>
                  <pic:spPr>
                    <a:xfrm>
                      <a:off x="0" y="0"/>
                      <a:ext cx="1781175" cy="276225"/>
                    </a:xfrm>
                    <a:prstGeom prst="rect">
                      <a:avLst/>
                    </a:prstGeom>
                    <a:noFill/>
                    <a:ln w="9525">
                      <a:noFill/>
                    </a:ln>
                  </pic:spPr>
                </pic:pic>
              </a:graphicData>
            </a:graphic>
          </wp:inline>
        </w:drawing>
      </w:r>
      <w:r>
        <w:rPr>
          <w:rFonts w:hint="eastAsia" w:ascii="仿宋_GB2312" w:hAnsi="仿宋_GB2312" w:eastAsia="仿宋_GB2312" w:cs="仿宋_GB2312"/>
          <w:sz w:val="32"/>
          <w:szCs w:val="40"/>
        </w:rPr>
        <w:t>。各有关药品生产企业在正式印制新的药品说明书之前，须认真核对并作相应修改。</w:t>
      </w:r>
      <w:bookmarkStart w:id="0" w:name="_GoBack"/>
      <w:bookmarkEnd w:id="0"/>
    </w:p>
    <w:p w14:paraId="7FCA3465">
      <w:pPr>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 </w:t>
      </w:r>
    </w:p>
    <w:p w14:paraId="767AFCA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D70B6"/>
    <w:rsid w:val="021D70B6"/>
    <w:rsid w:val="392C554B"/>
    <w:rsid w:val="6A6318C6"/>
    <w:rsid w:val="7B473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577</Words>
  <Characters>580</Characters>
  <Lines>0</Lines>
  <Paragraphs>0</Paragraphs>
  <TotalTime>3</TotalTime>
  <ScaleCrop>false</ScaleCrop>
  <LinksUpToDate>false</LinksUpToDate>
  <CharactersWithSpaces>594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2025-04-21T08:18:00Z</dcterms:created>
  <dc:creator>新祺</dc:creator>
  <cp:lastModifiedBy>新祺</cp:lastModifiedBy>
  <dcterms:modified xsi:type="dcterms:W3CDTF">2025-04-28T01:01:39Z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86ED11BB8B6940BA93FD9479372856A5_11</vt:lpwstr>
  </property>
  <property fmtid="{D5CDD505-2E9C-101B-9397-08002B2CF9AE}" pid="4" name="KSOTemplateDocerSaveRecord">
    <vt:lpwstr>eyJoZGlkIjoiNzUzMjcxYjI3MDRjMDIwZmVmYTgzNGM3MjE3OGJkMDMiLCJ1c2VySWQiOiIyNzgyMDExNzcifQ==</vt:lpwstr>
  </property>
</Properties>
</file>