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D7C781">
      <w:pPr>
        <w:pStyle w:val="2"/>
        <w:ind w:left="0" w:leftChars="0" w:firstLine="0" w:firstLineChars="0"/>
        <w:jc w:val="both"/>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2</w:t>
      </w:r>
    </w:p>
    <w:p w14:paraId="767AFCA9"/>
    <w:p w14:paraId="77F951A8">
      <w:pPr>
        <w:jc w:val="center"/>
        <w:rPr>
          <w:rFonts w:hint="eastAsia" w:ascii="仿宋_GB2312" w:hAnsi="仿宋_GB2312" w:eastAsia="仿宋_GB2312" w:cs="仿宋_GB2312"/>
          <w:i w:val="0"/>
          <w:iCs w:val="0"/>
          <w:caps w:val="0"/>
          <w:color w:val="000000"/>
          <w:spacing w:val="0"/>
          <w:sz w:val="32"/>
          <w:szCs w:val="32"/>
          <w:shd w:val="clear" w:fill="FFFFFF"/>
        </w:rPr>
      </w:pPr>
      <w:r>
        <w:rPr>
          <w:rFonts w:ascii="宋体" w:hAnsi="宋体" w:eastAsia="宋体" w:cs="宋体"/>
          <w:sz w:val="24"/>
          <w:szCs w:val="24"/>
        </w:rPr>
        <w:br w:type="textWrapping"/>
      </w:r>
      <w:r>
        <w:rPr>
          <w:rFonts w:hint="eastAsia" w:ascii="方正小标宋简体" w:hAnsi="方正小标宋简体" w:eastAsia="方正小标宋简体" w:cs="方正小标宋简体"/>
          <w:i w:val="0"/>
          <w:iCs w:val="0"/>
          <w:caps w:val="0"/>
          <w:color w:val="000000"/>
          <w:spacing w:val="0"/>
          <w:sz w:val="44"/>
          <w:szCs w:val="44"/>
          <w:shd w:val="clear" w:fill="FFFFFF"/>
        </w:rPr>
        <w:t> 统一换发药品批准文号注意事项</w:t>
      </w:r>
    </w:p>
    <w:p w14:paraId="6E7FD8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rPr>
          <w:rFonts w:hint="eastAsia" w:ascii="仿宋_GB2312" w:hAnsi="仿宋_GB2312" w:eastAsia="仿宋_GB2312" w:cs="仿宋_GB2312"/>
          <w:i w:val="0"/>
          <w:iCs w:val="0"/>
          <w:caps w:val="0"/>
          <w:color w:val="000000"/>
          <w:spacing w:val="0"/>
          <w:sz w:val="32"/>
          <w:szCs w:val="32"/>
          <w:bdr w:val="none" w:color="auto" w:sz="0" w:space="0"/>
          <w:shd w:val="clear" w:fill="FFFFFF"/>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p>
    <w:p w14:paraId="3AA0B3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firstLineChars="200"/>
        <w:rPr>
          <w:rFonts w:hint="eastAsia" w:ascii="仿宋_GB2312" w:hAnsi="仿宋_GB2312" w:eastAsia="仿宋_GB2312" w:cs="仿宋_GB2312"/>
          <w:i w:val="0"/>
          <w:iCs w:val="0"/>
          <w:caps w:val="0"/>
          <w:color w:val="000000"/>
          <w:spacing w:val="0"/>
          <w:sz w:val="32"/>
          <w:szCs w:val="32"/>
        </w:rPr>
      </w:pPr>
      <w:bookmarkStart w:id="0" w:name="_GoBack"/>
      <w:bookmarkEnd w:id="0"/>
      <w:r>
        <w:rPr>
          <w:rFonts w:hint="eastAsia" w:ascii="仿宋_GB2312" w:hAnsi="仿宋_GB2312" w:eastAsia="仿宋_GB2312" w:cs="仿宋_GB2312"/>
          <w:i w:val="0"/>
          <w:iCs w:val="0"/>
          <w:caps w:val="0"/>
          <w:color w:val="000000"/>
          <w:spacing w:val="0"/>
          <w:sz w:val="32"/>
          <w:szCs w:val="32"/>
          <w:bdr w:val="none" w:color="auto" w:sz="0" w:space="0"/>
          <w:shd w:val="clear" w:fill="FFFFFF"/>
        </w:rPr>
        <w:t>省级药品监督管理局须仔细核对药品名称、规格、生产企业名称、批准文号等内容，如发现有误，应立即上报我局药品注册司，以便作出相应的修改。核对无误后，请及时将批准文号转发至辖区内相关的药品生产企业，并要求企业做好以下工作：</w:t>
      </w:r>
    </w:p>
    <w:p w14:paraId="4A2B1C3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　　一、药品生产企业在收到省级药品监督管理局转发的药品批准文号后，须仔细核对药品名称、规格、生产企业名称、批准文号等内容，如发现有误，应立即与所在地省级药品监督管理局联系。</w:t>
      </w:r>
    </w:p>
    <w:p w14:paraId="3C5A589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　　二、药品生产企业应在批准文号换发通知下达后6个月内，完成新旧包装、标签和说明书的更换工作。在批准文号换发6个月后生产的药品，不得再使用原不符合要求和规定的包装、标签和说明书，此前已进入流通领域的药品，可在其有效期内继续流通、使用。</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换发药品批准文号时间以省级药品监督管理部门通知药品生产企业的时间为准。</w:t>
      </w:r>
    </w:p>
    <w:p w14:paraId="6F68785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　　三、对于未提供药品包装、标签和说明书实样的企业，须在换发批准文号后3个月内将实样报省级局备案。</w:t>
      </w:r>
    </w:p>
    <w:p w14:paraId="0F404C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　　四、国家食品药品监督管理局药品注册司曾于2002年2月份将化学药品的说明书样稿以及中药和蒙、藏、维药品种说明书中［主要成份］项的内容公布在网站上，经征求多方意见并商有关专家，对其中的部分内容做了相应的修改，修改后的内容业已公布在国家食品药品监督管理局和中国药品生物制品检定所的网站上，网址分别为</w:t>
      </w:r>
      <w:r>
        <w:rPr>
          <w:rFonts w:hint="eastAsia" w:ascii="仿宋_GB2312" w:hAnsi="仿宋_GB2312" w:eastAsia="仿宋_GB2312" w:cs="仿宋_GB2312"/>
          <w:i w:val="0"/>
          <w:iCs w:val="0"/>
          <w:caps w:val="0"/>
          <w:color w:val="000000"/>
          <w:spacing w:val="0"/>
          <w:sz w:val="32"/>
          <w:szCs w:val="32"/>
          <w:bdr w:val="none" w:color="auto" w:sz="0" w:space="0"/>
          <w:shd w:val="clear" w:fill="FFFFFF"/>
        </w:rPr>
        <w:drawing>
          <wp:inline distT="0" distB="0" distL="114300" distR="114300">
            <wp:extent cx="1552575" cy="247650"/>
            <wp:effectExtent l="0" t="0" r="9525" b="0"/>
            <wp:docPr id="1" name="图片 1" descr="1715649127664015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15649127664015270.png"/>
                    <pic:cNvPicPr>
                      <a:picLocks noChangeAspect="1"/>
                    </pic:cNvPicPr>
                  </pic:nvPicPr>
                  <pic:blipFill>
                    <a:blip r:embed="rId4"/>
                    <a:stretch>
                      <a:fillRect/>
                    </a:stretch>
                  </pic:blipFill>
                  <pic:spPr>
                    <a:xfrm>
                      <a:off x="0" y="0"/>
                      <a:ext cx="1552575" cy="247650"/>
                    </a:xfrm>
                    <a:prstGeom prst="rect">
                      <a:avLst/>
                    </a:prstGeom>
                    <a:noFill/>
                    <a:ln w="9525">
                      <a:noFill/>
                    </a:ln>
                  </pic:spPr>
                </pic:pic>
              </a:graphicData>
            </a:graphic>
          </wp:inline>
        </w:drawing>
      </w:r>
      <w:r>
        <w:rPr>
          <w:rFonts w:hint="eastAsia" w:ascii="仿宋_GB2312" w:hAnsi="仿宋_GB2312" w:eastAsia="仿宋_GB2312" w:cs="仿宋_GB2312"/>
          <w:i w:val="0"/>
          <w:iCs w:val="0"/>
          <w:caps w:val="0"/>
          <w:color w:val="000000"/>
          <w:spacing w:val="0"/>
          <w:sz w:val="32"/>
          <w:szCs w:val="32"/>
          <w:bdr w:val="none" w:color="auto" w:sz="0" w:space="0"/>
          <w:shd w:val="clear" w:fill="FFFFFF"/>
        </w:rPr>
        <w:t>和</w:t>
      </w:r>
      <w:r>
        <w:rPr>
          <w:rFonts w:hint="eastAsia" w:ascii="仿宋_GB2312" w:hAnsi="仿宋_GB2312" w:eastAsia="仿宋_GB2312" w:cs="仿宋_GB2312"/>
          <w:i w:val="0"/>
          <w:iCs w:val="0"/>
          <w:caps w:val="0"/>
          <w:color w:val="000000"/>
          <w:spacing w:val="0"/>
          <w:sz w:val="32"/>
          <w:szCs w:val="32"/>
          <w:bdr w:val="none" w:color="auto" w:sz="0" w:space="0"/>
          <w:shd w:val="clear" w:fill="FFFFFF"/>
        </w:rPr>
        <w:drawing>
          <wp:inline distT="0" distB="0" distL="114300" distR="114300">
            <wp:extent cx="1781175" cy="276225"/>
            <wp:effectExtent l="0" t="0" r="9525" b="9525"/>
            <wp:docPr id="2" name="图片 2" descr="17156491430800358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15649143080035881.png"/>
                    <pic:cNvPicPr>
                      <a:picLocks noChangeAspect="1"/>
                    </pic:cNvPicPr>
                  </pic:nvPicPr>
                  <pic:blipFill>
                    <a:blip r:embed="rId5"/>
                    <a:stretch>
                      <a:fillRect/>
                    </a:stretch>
                  </pic:blipFill>
                  <pic:spPr>
                    <a:xfrm>
                      <a:off x="0" y="0"/>
                      <a:ext cx="1781175" cy="276225"/>
                    </a:xfrm>
                    <a:prstGeom prst="rect">
                      <a:avLst/>
                    </a:prstGeom>
                    <a:noFill/>
                    <a:ln w="9525">
                      <a:noFill/>
                    </a:ln>
                  </pic:spPr>
                </pic:pic>
              </a:graphicData>
            </a:graphic>
          </wp:inline>
        </w:drawing>
      </w:r>
      <w:r>
        <w:rPr>
          <w:rFonts w:hint="eastAsia" w:ascii="仿宋_GB2312" w:hAnsi="仿宋_GB2312" w:eastAsia="仿宋_GB2312" w:cs="仿宋_GB2312"/>
          <w:i w:val="0"/>
          <w:iCs w:val="0"/>
          <w:caps w:val="0"/>
          <w:color w:val="000000"/>
          <w:spacing w:val="0"/>
          <w:sz w:val="32"/>
          <w:szCs w:val="32"/>
          <w:bdr w:val="none" w:color="auto" w:sz="0" w:space="0"/>
          <w:shd w:val="clear" w:fill="FFFFFF"/>
        </w:rPr>
        <w:t>。各有关药品生产企业在正式印制新的药品说明书之前，须认真核对并作相应修改。</w:t>
      </w:r>
    </w:p>
    <w:p w14:paraId="0AECE8B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shd w:val="clear" w:fill="FFFFFF"/>
        </w:rPr>
        <w:t> </w:t>
      </w:r>
    </w:p>
    <w:p w14:paraId="357345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right="0"/>
        <w:jc w:val="both"/>
        <w:rPr>
          <w:rFonts w:hint="default" w:ascii="Times New Roman" w:hAnsi="Times New Roman" w:eastAsia="仿宋_GB2312" w:cs="Times New Roman"/>
          <w:i w:val="0"/>
          <w:iCs w:val="0"/>
          <w:caps w:val="0"/>
          <w:color w:val="000000"/>
          <w:spacing w:val="0"/>
          <w:sz w:val="32"/>
          <w:szCs w:val="32"/>
        </w:rPr>
      </w:pPr>
    </w:p>
    <w:p w14:paraId="4DC8CA29">
      <w:pPr>
        <w:jc w:val="both"/>
        <w:rPr>
          <w:rFonts w:hint="eastAsia" w:ascii="仿宋_GB2312" w:hAnsi="仿宋_GB2312" w:eastAsia="仿宋_GB2312" w:cs="仿宋_GB2312"/>
          <w:i w:val="0"/>
          <w:iCs w:val="0"/>
          <w:caps w:val="0"/>
          <w:color w:val="000000"/>
          <w:spacing w:val="0"/>
          <w:sz w:val="32"/>
          <w:szCs w:val="32"/>
          <w:shd w:val="clear" w:fill="FFFFFF"/>
        </w:rPr>
      </w:pPr>
    </w:p>
    <w:p w14:paraId="6B9D5120">
      <w:pPr>
        <w:jc w:val="both"/>
        <w:rPr>
          <w:rFonts w:hint="eastAsia" w:ascii="仿宋_GB2312" w:hAnsi="仿宋_GB2312" w:eastAsia="仿宋_GB2312" w:cs="仿宋_GB2312"/>
          <w:i w:val="0"/>
          <w:iCs w:val="0"/>
          <w:caps w:val="0"/>
          <w:color w:val="000000"/>
          <w:spacing w:val="0"/>
          <w:sz w:val="32"/>
          <w:szCs w:val="32"/>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雅酷黑简">
    <w:panose1 w:val="00020600040101010101"/>
    <w:charset w:val="86"/>
    <w:family w:val="auto"/>
    <w:pitch w:val="default"/>
    <w:sig w:usb0="A00002BF" w:usb1="1AC17CFA" w:usb2="00000016" w:usb3="00000000" w:csb0="0004009F" w:csb1="DFD70000"/>
  </w:font>
  <w:font w:name="汉仪元隆黑-105简">
    <w:panose1 w:val="00020600040101010101"/>
    <w:charset w:val="86"/>
    <w:family w:val="auto"/>
    <w:pitch w:val="default"/>
    <w:sig w:usb0="8000003F" w:usb1="1AC17CFA" w:usb2="00000016" w:usb3="00000000" w:csb0="0004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1D70B6"/>
    <w:rsid w:val="021D70B6"/>
    <w:rsid w:val="156429D6"/>
    <w:rsid w:val="1B147971"/>
    <w:rsid w:val="392C554B"/>
    <w:rsid w:val="63E230A0"/>
    <w:rsid w:val="6639385F"/>
    <w:rsid w:val="7B473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587</Words>
  <Characters>590</Characters>
  <Lines>0</Lines>
  <Paragraphs>0</Paragraphs>
  <TotalTime>6</TotalTime>
  <ScaleCrop>false</ScaleCrop>
  <LinksUpToDate>false</LinksUpToDate>
  <CharactersWithSpaces>603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2025-04-21T08:18:00Z</dcterms:created>
  <dc:creator>新祺</dc:creator>
  <cp:lastModifiedBy>新祺</cp:lastModifiedBy>
  <dcterms:modified xsi:type="dcterms:W3CDTF">2025-04-28T01:30:58Z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86ED11BB8B6940BA93FD9479372856A5_11</vt:lpwstr>
  </property>
  <property fmtid="{D5CDD505-2E9C-101B-9397-08002B2CF9AE}" pid="4" name="KSOTemplateDocerSaveRecord">
    <vt:lpwstr>eyJoZGlkIjoiNzUzMjcxYjI3MDRjMDIwZmVmYTgzNGM3MjE3OGJkMDMiLCJ1c2VySWQiOiIyNzgyMDExNzcifQ==</vt:lpwstr>
  </property>
</Properties>
</file>