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7C781">
      <w:pPr>
        <w:pStyle w:val="2"/>
        <w:ind w:left="0" w:leftChars="0" w:firstLine="0" w:firstLineChars="0"/>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2</w:t>
      </w:r>
    </w:p>
    <w:p w14:paraId="767AFCA9"/>
    <w:p w14:paraId="79BCE33C">
      <w:pPr>
        <w:jc w:val="center"/>
        <w:rPr>
          <w:rFonts w:hint="eastAsia" w:ascii="方正小标宋简体" w:hAnsi="方正小标宋简体" w:eastAsia="方正小标宋简体" w:cs="方正小标宋简体"/>
          <w:i w:val="0"/>
          <w:iCs w:val="0"/>
          <w:caps w:val="0"/>
          <w:color w:val="000000"/>
          <w:spacing w:val="0"/>
          <w:sz w:val="44"/>
          <w:szCs w:val="44"/>
          <w:shd w:val="clear" w:fill="FFFFFF"/>
        </w:rPr>
      </w:pPr>
      <w:r>
        <w:rPr>
          <w:rFonts w:ascii="宋体" w:hAnsi="宋体" w:eastAsia="宋体" w:cs="宋体"/>
          <w:sz w:val="24"/>
          <w:szCs w:val="24"/>
        </w:rPr>
        <w:br w:type="textWrapping"/>
      </w:r>
      <w:r>
        <w:rPr>
          <w:rFonts w:hint="eastAsia" w:ascii="方正小标宋简体" w:hAnsi="方正小标宋简体" w:eastAsia="方正小标宋简体" w:cs="方正小标宋简体"/>
          <w:i w:val="0"/>
          <w:iCs w:val="0"/>
          <w:caps w:val="0"/>
          <w:color w:val="000000"/>
          <w:spacing w:val="0"/>
          <w:sz w:val="44"/>
          <w:szCs w:val="44"/>
          <w:shd w:val="clear" w:fill="FFFFFF"/>
        </w:rPr>
        <w:t> 统一换发药品批准文号注意事项</w:t>
      </w:r>
    </w:p>
    <w:p w14:paraId="77F951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eastAsia" w:ascii="仿宋_GB2312" w:hAnsi="仿宋_GB2312" w:eastAsia="仿宋_GB2312" w:cs="仿宋_GB2312"/>
          <w:i w:val="0"/>
          <w:iCs w:val="0"/>
          <w:caps w:val="0"/>
          <w:color w:val="000000"/>
          <w:spacing w:val="0"/>
          <w:sz w:val="32"/>
          <w:szCs w:val="32"/>
          <w:bdr w:val="none" w:color="auto" w:sz="0" w:space="0"/>
          <w:shd w:val="clear" w:fill="FFFFFF"/>
        </w:rPr>
      </w:pPr>
    </w:p>
    <w:p w14:paraId="6B3E8A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省级药品监督管理局须仔细核对药品名称、规格、生产企业名称、批准文号等内容，如发现有误，应立即上报我局药品注册司，以便作出相应的修改。核对无误后，请及时将批准文号转发至辖区内相应的药品生产企业，并要求企业做好以下工作：</w:t>
      </w:r>
    </w:p>
    <w:p w14:paraId="008968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一、药品生产企业在收到省级药品监督管理局转发的药品批准文号后，须仔细核对药品名称、规格、生产企业名称、批准文号等内容，如发现有误，应立即与所在地省级药品监督管理局联系。</w:t>
      </w:r>
    </w:p>
    <w:p w14:paraId="234927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二、药品生产企业应在批准文号换发通知下达后6个月内，完成新旧包装、标签和说明书的更换工作。在批准文号换发6个月后生产的药品，不得再使用原不符合要求和规定的包装、标签和说明书，此前已进入流通领域的药品，可在其有效期内继续流通、使用。</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br w:type="textWrapping"/>
      </w:r>
      <w:r>
        <w:rPr>
          <w:rFonts w:hint="default" w:ascii="Times New Roman" w:hAnsi="Times New Roman" w:eastAsia="仿宋_GB2312" w:cs="Times New Roman"/>
          <w:i w:val="0"/>
          <w:iCs w:val="0"/>
          <w:caps w:val="0"/>
          <w:color w:val="000000"/>
          <w:spacing w:val="0"/>
          <w:sz w:val="32"/>
          <w:szCs w:val="32"/>
          <w:bdr w:val="none" w:color="auto" w:sz="0" w:space="0"/>
          <w:shd w:val="clear" w:fill="FFFFFF"/>
          <w:lang w:val="en-US" w:eastAsia="zh-CN"/>
        </w:rPr>
        <w:t xml:space="preserve">    </w:t>
      </w:r>
      <w:r>
        <w:rPr>
          <w:rFonts w:hint="default" w:ascii="Times New Roman" w:hAnsi="Times New Roman" w:eastAsia="仿宋_GB2312" w:cs="Times New Roman"/>
          <w:i w:val="0"/>
          <w:iCs w:val="0"/>
          <w:caps w:val="0"/>
          <w:color w:val="000000"/>
          <w:spacing w:val="0"/>
          <w:sz w:val="32"/>
          <w:szCs w:val="32"/>
          <w:bdr w:val="none" w:color="auto" w:sz="0" w:space="0"/>
          <w:shd w:val="clear" w:fill="FFFFFF"/>
        </w:rPr>
        <w:t>换发药品批准文号时间以省级药品监督管理部门通知药品生产企业的时间为准。</w:t>
      </w:r>
    </w:p>
    <w:p w14:paraId="051A3E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三、对于未提供药品包装、标签和说明书实样的企业，须在换发批准文号后3个月内将实样报省级局备案。</w:t>
      </w:r>
    </w:p>
    <w:p w14:paraId="132F16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bdr w:val="none" w:color="auto" w:sz="0" w:space="0"/>
          <w:shd w:val="clear" w:fill="FFFFFF"/>
        </w:rPr>
        <w:t>四、我局药品注册司曾于2002年2月份将化学药品的说明书样稿以及中药和蒙、藏、维药品种说明书中［主要成份］项的内容公布在网站上，经征求多方意见并商有关专家，对其中的部分内容做了相应的修改，修改后的内容业已公布在国家药品监督管理局和中国药品生物制品检定所的网站上，网址分别为http://www.sda.gov.cn和http://www.nicpbp.org.cn。各有关药品生产企业在正式印制新的药品说明书之前，须认真核对并作相应修改。</w:t>
      </w:r>
      <w:bookmarkStart w:id="0" w:name="_GoBack"/>
      <w:bookmarkEnd w:id="0"/>
    </w:p>
    <w:p w14:paraId="6B9D5120">
      <w:pPr>
        <w:jc w:val="both"/>
        <w:rPr>
          <w:rFonts w:hint="eastAsia" w:ascii="仿宋_GB2312" w:hAnsi="仿宋_GB2312" w:eastAsia="仿宋_GB2312" w:cs="仿宋_GB2312"/>
          <w:i w:val="0"/>
          <w:iCs w:val="0"/>
          <w:caps w:val="0"/>
          <w:color w:val="000000"/>
          <w:spacing w:val="0"/>
          <w:sz w:val="32"/>
          <w:szCs w:val="32"/>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汉仪元隆黑-105简">
    <w:panose1 w:val="00020600040101010101"/>
    <w:charset w:val="86"/>
    <w:family w:val="auto"/>
    <w:pitch w:val="default"/>
    <w:sig w:usb0="8000003F" w:usb1="1AC17CFA" w:usb2="00000016" w:usb3="00000000" w:csb0="0004009F" w:csb1="00000000"/>
  </w:font>
  <w:font w:name="华文隶书">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D70B6"/>
    <w:rsid w:val="021D70B6"/>
    <w:rsid w:val="392C554B"/>
    <w:rsid w:val="6639385F"/>
    <w:rsid w:val="7B473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577</Words>
  <Characters>580</Characters>
  <Lines>0</Lines>
  <Paragraphs>0</Paragraphs>
  <TotalTime>3</TotalTime>
  <ScaleCrop>false</ScaleCrop>
  <LinksUpToDate>false</LinksUpToDate>
  <CharactersWithSpaces>594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2025-04-21T08:18:00Z</dcterms:created>
  <dc:creator>新祺</dc:creator>
  <cp:lastModifiedBy>新祺</cp:lastModifiedBy>
  <dcterms:modified xsi:type="dcterms:W3CDTF">2025-04-27T10:26:35Z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86ED11BB8B6940BA93FD9479372856A5_11</vt:lpwstr>
  </property>
  <property fmtid="{D5CDD505-2E9C-101B-9397-08002B2CF9AE}" pid="4" name="KSOTemplateDocerSaveRecord">
    <vt:lpwstr>eyJoZGlkIjoiNzUzMjcxYjI3MDRjMDIwZmVmYTgzNGM3MjE3OGJkMDMiLCJ1c2VySWQiOiIyNzgyMDExNzcifQ==</vt:lpwstr>
  </property>
</Properties>
</file>