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可降解卵圆孔未闭封堵器系统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无忧跳动医疗科技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植入式脑电电极套件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植入式脑机接口手部运动功能代偿系统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植入式眼部肌肉神经刺激器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超目科技（北京）有限公司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二氧化碳造影压力注射套装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阿迈特医疗器械（北京）股份有限公司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国械注准20263030556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应脉医疗科技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国械注准20263130557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国械注准20263010616</w:t>
            </w: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单通道内窥镜手术器械控制系统用无源手术器械和附件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Intuitive Surgical, Inc.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pStyle w:val="2"/>
              <w:spacing w:line="276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进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20262020149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上海申淇医疗科技有限公司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20263130777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一次性使用心腔内超声导管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心腔内超声诊断设备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一次性使用血栓切除装置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国械注准20263010856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420</w:t>
            </w:r>
            <w:bookmarkStart w:id="1" w:name="_GoBack"/>
            <w:bookmarkEnd w:id="1"/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人类白细胞抗原（HLA）基因分型检测试剂盒（荧光PCR法）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江苏伟禾生物科技有限公司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国械注准20263400857</w:t>
            </w:r>
          </w:p>
        </w:tc>
      </w:tr>
    </w:tbl>
    <w:p>
      <w:pPr>
        <w:spacing w:after="0" w:line="360" w:lineRule="exact"/>
        <w:jc w:val="center"/>
        <w:textAlignment w:val="center"/>
        <w:rPr>
          <w:rFonts w:hint="eastAsia" w:ascii="Times New Roman" w:hAnsi="Times New Roman" w:cs="Times New Roman" w:eastAsiaTheme="minorEastAsia"/>
          <w:color w:val="000000"/>
          <w:sz w:val="28"/>
          <w:szCs w:val="28"/>
          <w:lang w:val="en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6CEE89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4838F1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9E849EF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097B5E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56BEB62"/>
    <w:rsid w:val="56773FE7"/>
    <w:rsid w:val="56B7443A"/>
    <w:rsid w:val="56D42B9E"/>
    <w:rsid w:val="57375815"/>
    <w:rsid w:val="57580FAD"/>
    <w:rsid w:val="57912FAE"/>
    <w:rsid w:val="57D13012"/>
    <w:rsid w:val="57FF9DF0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CE2126"/>
    <w:rsid w:val="5FF9B532"/>
    <w:rsid w:val="5FFE1FC8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4F7703C"/>
    <w:rsid w:val="754908F0"/>
    <w:rsid w:val="757403BC"/>
    <w:rsid w:val="759C12FE"/>
    <w:rsid w:val="759C6421"/>
    <w:rsid w:val="75D07976"/>
    <w:rsid w:val="76C7A157"/>
    <w:rsid w:val="76FB0813"/>
    <w:rsid w:val="76FD7AF8"/>
    <w:rsid w:val="77020CE0"/>
    <w:rsid w:val="77B02365"/>
    <w:rsid w:val="77D608D3"/>
    <w:rsid w:val="78C51397"/>
    <w:rsid w:val="7998361F"/>
    <w:rsid w:val="79B104D5"/>
    <w:rsid w:val="79FA94FA"/>
    <w:rsid w:val="7A1E0C67"/>
    <w:rsid w:val="7AFC3D12"/>
    <w:rsid w:val="7BBC0507"/>
    <w:rsid w:val="7BF230C6"/>
    <w:rsid w:val="7C369A83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DF00AB"/>
    <w:rsid w:val="7FF52150"/>
    <w:rsid w:val="8EB5869B"/>
    <w:rsid w:val="8FFF1505"/>
    <w:rsid w:val="A5A9C1EC"/>
    <w:rsid w:val="A7FFD346"/>
    <w:rsid w:val="AF3E6901"/>
    <w:rsid w:val="AFFFDBC9"/>
    <w:rsid w:val="B46FBF14"/>
    <w:rsid w:val="BCFC5176"/>
    <w:rsid w:val="BF3E2377"/>
    <w:rsid w:val="DB793D23"/>
    <w:rsid w:val="DBB7EC73"/>
    <w:rsid w:val="DCA77A12"/>
    <w:rsid w:val="DFFFB7AE"/>
    <w:rsid w:val="EAB5FBD3"/>
    <w:rsid w:val="EBBFCF20"/>
    <w:rsid w:val="ED5D46C8"/>
    <w:rsid w:val="EF6E678D"/>
    <w:rsid w:val="F59F551D"/>
    <w:rsid w:val="F5EE8C61"/>
    <w:rsid w:val="F5F3F24D"/>
    <w:rsid w:val="F66EF814"/>
    <w:rsid w:val="F7C71534"/>
    <w:rsid w:val="F8FE7633"/>
    <w:rsid w:val="FAFD5CBB"/>
    <w:rsid w:val="FC1F2D4D"/>
    <w:rsid w:val="FDFDC9B6"/>
    <w:rsid w:val="FE77AADE"/>
    <w:rsid w:val="FEF91F0E"/>
    <w:rsid w:val="FFDBAF3B"/>
    <w:rsid w:val="FFDF66B1"/>
    <w:rsid w:val="FFEB8A3D"/>
    <w:rsid w:val="FFFB5EDF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53</Pages>
  <Words>5023</Words>
  <Characters>8165</Characters>
  <Lines>179</Lines>
  <Paragraphs>50</Paragraphs>
  <TotalTime>0</TotalTime>
  <ScaleCrop>false</ScaleCrop>
  <LinksUpToDate>false</LinksUpToDate>
  <CharactersWithSpaces>8184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2019-01-28T10:26:00Z</dcterms:created>
  <dc:creator>weijianhua</dc:creator>
  <cp:lastModifiedBy>kylin</cp:lastModifiedBy>
  <cp:lastPrinted>2026-03-25T10:01:00Z</cp:lastPrinted>
  <dcterms:modified xsi:type="dcterms:W3CDTF">2026-04-30T15:02:13Z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eyJoZGlkIjoiOGQwZDNjNzJjMmI1YWJjODliYWI0YTNjYjcyYmNmNDkiLCJ1c2VySWQiOiI1ODUzNjUzODEifQ==</vt:lpwstr>
  </property>
</Properties>
</file>