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884" w:rsidRDefault="00441884" w:rsidP="00441884">
      <w:pPr>
        <w:spacing w:line="600" w:lineRule="exact"/>
        <w:rPr>
          <w:rFonts w:ascii="黑体" w:eastAsia="黑体" w:hAnsi="黑体"/>
          <w:sz w:val="32"/>
          <w:szCs w:val="32"/>
        </w:rPr>
      </w:pPr>
      <w:r w:rsidRPr="000845F6">
        <w:rPr>
          <w:rFonts w:ascii="黑体" w:eastAsia="黑体" w:hAnsi="黑体" w:hint="eastAsia"/>
          <w:sz w:val="32"/>
          <w:szCs w:val="32"/>
        </w:rPr>
        <w:t>附件</w:t>
      </w:r>
    </w:p>
    <w:p w:rsidR="00441884" w:rsidRDefault="00441884" w:rsidP="00441884">
      <w:pPr>
        <w:spacing w:line="600" w:lineRule="exact"/>
        <w:jc w:val="center"/>
        <w:rPr>
          <w:rFonts w:ascii="黑体" w:eastAsia="黑体" w:hAnsi="黑体"/>
          <w:sz w:val="32"/>
          <w:szCs w:val="32"/>
        </w:rPr>
      </w:pPr>
    </w:p>
    <w:p w:rsidR="00441884" w:rsidRPr="001E7199" w:rsidRDefault="00441884" w:rsidP="00441884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1E7199">
        <w:rPr>
          <w:rFonts w:ascii="方正小标宋简体" w:eastAsia="方正小标宋简体" w:hint="eastAsia"/>
          <w:sz w:val="44"/>
          <w:szCs w:val="44"/>
        </w:rPr>
        <w:t>含木糖醇注射剂说明书修订要求</w:t>
      </w:r>
    </w:p>
    <w:p w:rsidR="00441884" w:rsidRDefault="00441884" w:rsidP="00441884">
      <w:pPr>
        <w:spacing w:line="600" w:lineRule="exact"/>
        <w:ind w:firstLineChars="196" w:firstLine="627"/>
        <w:jc w:val="center"/>
        <w:rPr>
          <w:rFonts w:eastAsia="仿宋_GB2312"/>
          <w:sz w:val="32"/>
          <w:szCs w:val="32"/>
        </w:rPr>
      </w:pPr>
    </w:p>
    <w:p w:rsidR="00441884" w:rsidRPr="00F2078B" w:rsidRDefault="00441884" w:rsidP="00441884">
      <w:pPr>
        <w:ind w:firstLineChars="196" w:firstLine="627"/>
        <w:rPr>
          <w:rFonts w:eastAsia="仿宋_GB2312"/>
          <w:sz w:val="32"/>
          <w:szCs w:val="32"/>
        </w:rPr>
      </w:pPr>
      <w:r w:rsidRPr="00F2078B">
        <w:rPr>
          <w:rFonts w:eastAsia="仿宋_GB2312" w:hint="eastAsia"/>
          <w:sz w:val="32"/>
          <w:szCs w:val="32"/>
        </w:rPr>
        <w:t>含木糖醇注射剂包括木糖醇注射液、注射用木糖醇、木糖醇氯化钠注射液、复方氨基酸注射液（</w:t>
      </w:r>
      <w:r w:rsidRPr="00F2078B">
        <w:rPr>
          <w:rFonts w:eastAsia="仿宋_GB2312"/>
          <w:sz w:val="32"/>
          <w:szCs w:val="32"/>
        </w:rPr>
        <w:t>18AA-V</w:t>
      </w:r>
      <w:r w:rsidRPr="00F2078B">
        <w:rPr>
          <w:rFonts w:eastAsia="仿宋_GB2312" w:hint="eastAsia"/>
          <w:sz w:val="32"/>
          <w:szCs w:val="32"/>
        </w:rPr>
        <w:t>）和门冬氨酸钾镁木糖醇注射液。以上药品说明书须按下列要求修订：</w:t>
      </w:r>
    </w:p>
    <w:p w:rsidR="00441884" w:rsidRPr="00B47A0F" w:rsidRDefault="00441884" w:rsidP="00441884">
      <w:pPr>
        <w:ind w:firstLine="640"/>
        <w:rPr>
          <w:rFonts w:ascii="黑体" w:eastAsia="黑体" w:hAnsi="黑体"/>
          <w:sz w:val="32"/>
          <w:szCs w:val="32"/>
        </w:rPr>
      </w:pPr>
      <w:r w:rsidRPr="00B47A0F">
        <w:rPr>
          <w:rFonts w:ascii="黑体" w:eastAsia="黑体" w:hAnsi="黑体" w:hint="eastAsia"/>
          <w:sz w:val="32"/>
          <w:szCs w:val="32"/>
        </w:rPr>
        <w:t>一、【不良反应】项下应含以下内容：</w:t>
      </w:r>
    </w:p>
    <w:p w:rsidR="00441884" w:rsidRPr="00F2078B" w:rsidRDefault="00441884" w:rsidP="00441884">
      <w:pPr>
        <w:ind w:firstLine="640"/>
        <w:rPr>
          <w:rFonts w:eastAsia="仿宋_GB2312"/>
          <w:sz w:val="32"/>
          <w:szCs w:val="32"/>
        </w:rPr>
      </w:pPr>
      <w:r w:rsidRPr="00F2078B"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.</w:t>
      </w:r>
      <w:r w:rsidRPr="00F2078B">
        <w:rPr>
          <w:rFonts w:eastAsia="仿宋_GB2312" w:hint="eastAsia"/>
          <w:sz w:val="32"/>
          <w:szCs w:val="32"/>
        </w:rPr>
        <w:t>滴注速度稍快可引起代谢性酸中毒，肾损伤，大脑功能损伤等严重反应。</w:t>
      </w:r>
    </w:p>
    <w:p w:rsidR="00441884" w:rsidRPr="00B47A0F" w:rsidRDefault="00441884" w:rsidP="00441884">
      <w:pPr>
        <w:pStyle w:val="a5"/>
        <w:spacing w:line="520" w:lineRule="exact"/>
        <w:ind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B47A0F"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.</w:t>
      </w:r>
      <w:r w:rsidRPr="00B47A0F">
        <w:rPr>
          <w:rFonts w:ascii="Times New Roman" w:eastAsia="仿宋_GB2312" w:hAnsi="Times New Roman" w:cs="Times New Roman"/>
          <w:sz w:val="32"/>
          <w:szCs w:val="32"/>
        </w:rPr>
        <w:t>上市后监测中发现的不良反应</w:t>
      </w:r>
      <w:r w:rsidRPr="00B47A0F">
        <w:rPr>
          <w:rFonts w:ascii="Times New Roman" w:eastAsia="仿宋_GB2312" w:hAnsi="Times New Roman" w:cs="Times New Roman"/>
          <w:sz w:val="32"/>
          <w:szCs w:val="32"/>
        </w:rPr>
        <w:t>/</w:t>
      </w:r>
      <w:r w:rsidRPr="00B47A0F">
        <w:rPr>
          <w:rFonts w:ascii="Times New Roman" w:eastAsia="仿宋_GB2312" w:hAnsi="Times New Roman" w:cs="Times New Roman"/>
          <w:sz w:val="32"/>
          <w:szCs w:val="32"/>
        </w:rPr>
        <w:t>事件为：</w:t>
      </w:r>
    </w:p>
    <w:p w:rsidR="00441884" w:rsidRPr="00F2078B" w:rsidRDefault="00441884" w:rsidP="00441884">
      <w:pPr>
        <w:ind w:firstLine="640"/>
        <w:rPr>
          <w:rFonts w:eastAsia="仿宋_GB2312"/>
          <w:sz w:val="32"/>
          <w:szCs w:val="32"/>
        </w:rPr>
      </w:pPr>
      <w:r w:rsidRPr="00F2078B">
        <w:rPr>
          <w:rFonts w:eastAsia="仿宋_GB2312" w:hint="eastAsia"/>
          <w:sz w:val="32"/>
          <w:szCs w:val="32"/>
        </w:rPr>
        <w:t>寒战、胸痛、发热、恶心、呕吐、皮疹、瘙痒、心悸、头晕、头痛、过敏样反应等。</w:t>
      </w:r>
    </w:p>
    <w:p w:rsidR="00441884" w:rsidRPr="00B47A0F" w:rsidRDefault="00441884" w:rsidP="00441884">
      <w:pPr>
        <w:ind w:firstLine="640"/>
        <w:rPr>
          <w:rFonts w:ascii="黑体" w:eastAsia="黑体" w:hAnsi="黑体"/>
          <w:sz w:val="32"/>
          <w:szCs w:val="32"/>
        </w:rPr>
      </w:pPr>
      <w:r w:rsidRPr="00B47A0F">
        <w:rPr>
          <w:rFonts w:ascii="黑体" w:eastAsia="黑体" w:hAnsi="黑体" w:hint="eastAsia"/>
          <w:sz w:val="32"/>
          <w:szCs w:val="32"/>
        </w:rPr>
        <w:t>二、【禁忌】项下应含以下内容：</w:t>
      </w:r>
    </w:p>
    <w:p w:rsidR="00441884" w:rsidRPr="00F2078B" w:rsidRDefault="00441884" w:rsidP="00441884">
      <w:pPr>
        <w:ind w:firstLine="640"/>
        <w:rPr>
          <w:rFonts w:eastAsia="仿宋_GB2312"/>
          <w:sz w:val="32"/>
          <w:szCs w:val="32"/>
        </w:rPr>
      </w:pPr>
      <w:r w:rsidRPr="00F2078B"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.</w:t>
      </w:r>
      <w:r w:rsidRPr="00F2078B">
        <w:rPr>
          <w:rFonts w:eastAsia="仿宋_GB2312" w:hint="eastAsia"/>
          <w:sz w:val="32"/>
          <w:szCs w:val="32"/>
        </w:rPr>
        <w:t>对木糖醇过敏者禁用。</w:t>
      </w:r>
    </w:p>
    <w:p w:rsidR="00441884" w:rsidRPr="00F2078B" w:rsidRDefault="00441884" w:rsidP="00441884">
      <w:pPr>
        <w:tabs>
          <w:tab w:val="left" w:pos="7584"/>
        </w:tabs>
        <w:ind w:firstLine="640"/>
        <w:rPr>
          <w:rFonts w:eastAsia="仿宋_GB2312"/>
          <w:sz w:val="32"/>
          <w:szCs w:val="32"/>
        </w:rPr>
      </w:pPr>
      <w:r w:rsidRPr="00F2078B"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.</w:t>
      </w:r>
      <w:r w:rsidRPr="00F2078B">
        <w:rPr>
          <w:rFonts w:eastAsia="仿宋_GB2312" w:hint="eastAsia"/>
          <w:sz w:val="32"/>
          <w:szCs w:val="32"/>
        </w:rPr>
        <w:t>胰岛素诱发的低血糖症患者禁用。</w:t>
      </w:r>
      <w:r w:rsidRPr="00F2078B">
        <w:rPr>
          <w:rFonts w:eastAsia="仿宋_GB2312"/>
          <w:sz w:val="32"/>
          <w:szCs w:val="32"/>
        </w:rPr>
        <w:tab/>
      </w:r>
    </w:p>
    <w:p w:rsidR="00441884" w:rsidRPr="00F2078B" w:rsidRDefault="00441884" w:rsidP="00441884">
      <w:pPr>
        <w:ind w:firstLine="640"/>
        <w:rPr>
          <w:rFonts w:eastAsia="仿宋_GB2312"/>
          <w:sz w:val="32"/>
          <w:szCs w:val="32"/>
        </w:rPr>
      </w:pPr>
      <w:r w:rsidRPr="00F2078B"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.</w:t>
      </w:r>
      <w:r w:rsidRPr="00F2078B">
        <w:rPr>
          <w:rFonts w:eastAsia="仿宋_GB2312" w:hint="eastAsia"/>
          <w:sz w:val="32"/>
          <w:szCs w:val="32"/>
        </w:rPr>
        <w:t>低渗性脱水者禁用（该病是钠缺乏导致血清渗透压变为低渗状态而引起的。这类患者使用本品后可能会导致水量增加，症状恶化）。</w:t>
      </w:r>
    </w:p>
    <w:p w:rsidR="00441884" w:rsidRPr="00B47A0F" w:rsidRDefault="00441884" w:rsidP="00441884">
      <w:pPr>
        <w:ind w:firstLine="640"/>
        <w:rPr>
          <w:rFonts w:ascii="黑体" w:eastAsia="黑体" w:hAnsi="黑体"/>
          <w:sz w:val="32"/>
          <w:szCs w:val="32"/>
        </w:rPr>
      </w:pPr>
      <w:r w:rsidRPr="00B47A0F">
        <w:rPr>
          <w:rFonts w:ascii="黑体" w:eastAsia="黑体" w:hAnsi="黑体" w:hint="eastAsia"/>
          <w:sz w:val="32"/>
          <w:szCs w:val="32"/>
        </w:rPr>
        <w:t>三、【注意事项】项下应含以下内容：</w:t>
      </w:r>
    </w:p>
    <w:p w:rsidR="00441884" w:rsidRPr="00F2078B" w:rsidRDefault="00441884" w:rsidP="00441884">
      <w:pPr>
        <w:ind w:firstLine="640"/>
        <w:rPr>
          <w:rFonts w:eastAsia="仿宋_GB2312"/>
          <w:sz w:val="32"/>
          <w:szCs w:val="32"/>
        </w:rPr>
      </w:pPr>
      <w:r w:rsidRPr="00F2078B"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.</w:t>
      </w:r>
      <w:r w:rsidRPr="00F2078B">
        <w:rPr>
          <w:rFonts w:eastAsia="仿宋_GB2312" w:hint="eastAsia"/>
          <w:sz w:val="32"/>
          <w:szCs w:val="32"/>
        </w:rPr>
        <w:t>应缓慢滴注，每千克体重每小时不超过</w:t>
      </w:r>
      <w:r w:rsidRPr="00F2078B">
        <w:rPr>
          <w:rFonts w:eastAsia="仿宋_GB2312"/>
          <w:sz w:val="32"/>
          <w:szCs w:val="32"/>
        </w:rPr>
        <w:t>0.3g</w:t>
      </w:r>
      <w:r w:rsidRPr="00F2078B">
        <w:rPr>
          <w:rFonts w:eastAsia="仿宋_GB2312" w:hint="eastAsia"/>
          <w:sz w:val="32"/>
          <w:szCs w:val="32"/>
        </w:rPr>
        <w:t>（以木糖醇计），</w:t>
      </w:r>
      <w:r w:rsidRPr="00F2078B">
        <w:rPr>
          <w:rFonts w:eastAsia="仿宋_GB2312"/>
          <w:sz w:val="32"/>
          <w:szCs w:val="32"/>
        </w:rPr>
        <w:lastRenderedPageBreak/>
        <w:t>10%</w:t>
      </w:r>
      <w:r w:rsidRPr="00F2078B">
        <w:rPr>
          <w:rFonts w:eastAsia="仿宋_GB2312" w:hint="eastAsia"/>
          <w:sz w:val="32"/>
          <w:szCs w:val="32"/>
        </w:rPr>
        <w:t>木糖醇注射液滴注速度应更加缓慢。</w:t>
      </w:r>
    </w:p>
    <w:p w:rsidR="00441884" w:rsidRPr="00F2078B" w:rsidRDefault="00441884" w:rsidP="00441884">
      <w:pPr>
        <w:ind w:firstLine="640"/>
        <w:rPr>
          <w:rFonts w:eastAsia="仿宋_GB2312"/>
          <w:sz w:val="32"/>
          <w:szCs w:val="32"/>
        </w:rPr>
      </w:pPr>
      <w:r w:rsidRPr="00F2078B"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.</w:t>
      </w:r>
      <w:r w:rsidRPr="00F2078B">
        <w:rPr>
          <w:rFonts w:eastAsia="仿宋_GB2312" w:hint="eastAsia"/>
          <w:sz w:val="32"/>
          <w:szCs w:val="32"/>
        </w:rPr>
        <w:t>每日用量不超过</w:t>
      </w:r>
      <w:r w:rsidRPr="00F2078B">
        <w:rPr>
          <w:rFonts w:eastAsia="仿宋_GB2312"/>
          <w:sz w:val="32"/>
          <w:szCs w:val="32"/>
        </w:rPr>
        <w:t>100g</w:t>
      </w:r>
      <w:r w:rsidRPr="00F2078B">
        <w:rPr>
          <w:rFonts w:eastAsia="仿宋_GB2312" w:hint="eastAsia"/>
          <w:sz w:val="32"/>
          <w:szCs w:val="32"/>
        </w:rPr>
        <w:t>（以木糖醇计）。</w:t>
      </w:r>
    </w:p>
    <w:p w:rsidR="00441884" w:rsidRPr="00F2078B" w:rsidRDefault="00441884" w:rsidP="00441884">
      <w:pPr>
        <w:ind w:firstLine="640"/>
        <w:rPr>
          <w:rFonts w:eastAsia="仿宋_GB2312"/>
          <w:sz w:val="32"/>
          <w:szCs w:val="32"/>
        </w:rPr>
      </w:pPr>
      <w:r w:rsidRPr="00F2078B"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.</w:t>
      </w:r>
      <w:r w:rsidRPr="00F2078B">
        <w:rPr>
          <w:rFonts w:eastAsia="仿宋_GB2312" w:hint="eastAsia"/>
          <w:sz w:val="32"/>
          <w:szCs w:val="32"/>
        </w:rPr>
        <w:t>肝肾功能不全患者慎用。</w:t>
      </w:r>
    </w:p>
    <w:p w:rsidR="00441884" w:rsidRPr="00F2078B" w:rsidRDefault="00441884" w:rsidP="00441884">
      <w:pPr>
        <w:ind w:firstLine="640"/>
        <w:rPr>
          <w:rFonts w:eastAsia="仿宋_GB2312"/>
          <w:sz w:val="32"/>
          <w:szCs w:val="32"/>
        </w:rPr>
      </w:pPr>
      <w:r w:rsidRPr="00F2078B"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.</w:t>
      </w:r>
      <w:r w:rsidRPr="00F2078B">
        <w:rPr>
          <w:rFonts w:eastAsia="仿宋_GB2312" w:hint="eastAsia"/>
          <w:sz w:val="32"/>
          <w:szCs w:val="32"/>
        </w:rPr>
        <w:t>尿崩症患者慎用。</w:t>
      </w:r>
    </w:p>
    <w:p w:rsidR="00441884" w:rsidRPr="00F2078B" w:rsidRDefault="00441884" w:rsidP="00441884">
      <w:pPr>
        <w:ind w:firstLine="640"/>
        <w:rPr>
          <w:rFonts w:eastAsia="仿宋_GB2312"/>
          <w:sz w:val="32"/>
          <w:szCs w:val="32"/>
        </w:rPr>
      </w:pPr>
      <w:r w:rsidRPr="00F2078B">
        <w:rPr>
          <w:rFonts w:eastAsia="仿宋_GB2312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.</w:t>
      </w:r>
      <w:r w:rsidRPr="00F2078B">
        <w:rPr>
          <w:rFonts w:eastAsia="仿宋_GB2312" w:hint="eastAsia"/>
          <w:sz w:val="32"/>
          <w:szCs w:val="32"/>
        </w:rPr>
        <w:t>突然中止高浓度溶液的给药可能会诱发低血糖风险。</w:t>
      </w:r>
    </w:p>
    <w:p w:rsidR="00441884" w:rsidRPr="00F2078B" w:rsidRDefault="00441884" w:rsidP="00441884">
      <w:pPr>
        <w:ind w:firstLine="640"/>
        <w:rPr>
          <w:rFonts w:eastAsia="仿宋_GB2312"/>
          <w:sz w:val="32"/>
          <w:szCs w:val="32"/>
        </w:rPr>
      </w:pPr>
      <w:r w:rsidRPr="00F2078B">
        <w:rPr>
          <w:rFonts w:eastAsia="仿宋_GB2312"/>
          <w:sz w:val="32"/>
          <w:szCs w:val="32"/>
        </w:rPr>
        <w:t>6</w:t>
      </w:r>
      <w:r>
        <w:rPr>
          <w:rFonts w:eastAsia="仿宋_GB2312" w:hint="eastAsia"/>
          <w:sz w:val="32"/>
          <w:szCs w:val="32"/>
        </w:rPr>
        <w:t>.</w:t>
      </w:r>
      <w:r w:rsidRPr="00F2078B">
        <w:rPr>
          <w:rFonts w:eastAsia="仿宋_GB2312" w:hint="eastAsia"/>
          <w:sz w:val="32"/>
          <w:szCs w:val="32"/>
        </w:rPr>
        <w:t>有报告称大剂量木糖醇快速静脉滴注时，各器官特别是肾和脑内出现草酸钙沉淀。</w:t>
      </w:r>
    </w:p>
    <w:p w:rsidR="00C600F7" w:rsidRPr="004C2BE0" w:rsidRDefault="00441884" w:rsidP="004C2BE0">
      <w:pPr>
        <w:ind w:firstLine="640"/>
        <w:rPr>
          <w:rFonts w:eastAsia="仿宋_GB2312"/>
          <w:sz w:val="28"/>
          <w:szCs w:val="28"/>
        </w:rPr>
      </w:pPr>
      <w:r w:rsidRPr="00F2078B">
        <w:rPr>
          <w:rFonts w:eastAsia="仿宋_GB2312" w:hint="eastAsia"/>
          <w:sz w:val="32"/>
          <w:szCs w:val="32"/>
        </w:rPr>
        <w:t>（注：说明书其他内容如与上述修订要求不一致的，应当一并进行修订。）</w:t>
      </w:r>
    </w:p>
    <w:sectPr w:rsidR="00C600F7" w:rsidRPr="004C2BE0" w:rsidSect="00B47A0F">
      <w:footerReference w:type="even" r:id="rId6"/>
      <w:footerReference w:type="default" r:id="rId7"/>
      <w:pgSz w:w="11906" w:h="16838"/>
      <w:pgMar w:top="1928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1499" w:rsidRDefault="00F71499" w:rsidP="00441884">
      <w:r>
        <w:separator/>
      </w:r>
    </w:p>
  </w:endnote>
  <w:endnote w:type="continuationSeparator" w:id="1">
    <w:p w:rsidR="00F71499" w:rsidRDefault="00F71499" w:rsidP="004418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8B" w:rsidRPr="00B47A0F" w:rsidRDefault="00367CD9">
    <w:pPr>
      <w:pStyle w:val="a4"/>
      <w:rPr>
        <w:sz w:val="28"/>
        <w:szCs w:val="28"/>
      </w:rPr>
    </w:pPr>
    <w:r w:rsidRPr="00B47A0F">
      <w:rPr>
        <w:rFonts w:hint="eastAsia"/>
        <w:color w:val="FFFFFF" w:themeColor="background1"/>
        <w:sz w:val="28"/>
        <w:szCs w:val="28"/>
      </w:rPr>
      <w:t>—</w:t>
    </w:r>
    <w:r w:rsidRPr="00B47A0F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917449250"/>
        <w:docPartObj>
          <w:docPartGallery w:val="Page Numbers (Bottom of Page)"/>
          <w:docPartUnique/>
        </w:docPartObj>
      </w:sdtPr>
      <w:sdtContent>
        <w:r w:rsidR="00192A8C" w:rsidRPr="00B47A0F">
          <w:rPr>
            <w:sz w:val="28"/>
            <w:szCs w:val="28"/>
          </w:rPr>
          <w:fldChar w:fldCharType="begin"/>
        </w:r>
        <w:r w:rsidRPr="00B47A0F">
          <w:rPr>
            <w:sz w:val="28"/>
            <w:szCs w:val="28"/>
          </w:rPr>
          <w:instrText>PAGE   \* MERGEFORMAT</w:instrText>
        </w:r>
        <w:r w:rsidR="00192A8C" w:rsidRPr="00B47A0F">
          <w:rPr>
            <w:sz w:val="28"/>
            <w:szCs w:val="28"/>
          </w:rPr>
          <w:fldChar w:fldCharType="separate"/>
        </w:r>
        <w:r w:rsidRPr="008A39FC">
          <w:rPr>
            <w:noProof/>
            <w:sz w:val="28"/>
            <w:szCs w:val="28"/>
            <w:lang w:val="zh-CN"/>
          </w:rPr>
          <w:t>4</w:t>
        </w:r>
        <w:r w:rsidR="00192A8C" w:rsidRPr="00B47A0F">
          <w:rPr>
            <w:sz w:val="28"/>
            <w:szCs w:val="28"/>
          </w:rPr>
          <w:fldChar w:fldCharType="end"/>
        </w:r>
        <w:r w:rsidRPr="00B47A0F">
          <w:rPr>
            <w:rFonts w:hint="eastAsia"/>
            <w:sz w:val="28"/>
            <w:szCs w:val="28"/>
          </w:rPr>
          <w:t>—</w:t>
        </w:r>
      </w:sdtContent>
    </w:sdt>
  </w:p>
  <w:p w:rsidR="00F2078B" w:rsidRDefault="00F7149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8B" w:rsidRPr="00B47A0F" w:rsidRDefault="00367CD9">
    <w:pPr>
      <w:pStyle w:val="a4"/>
      <w:jc w:val="right"/>
      <w:rPr>
        <w:sz w:val="28"/>
        <w:szCs w:val="28"/>
      </w:rPr>
    </w:pPr>
    <w:r w:rsidRPr="00B47A0F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-1247794633"/>
        <w:docPartObj>
          <w:docPartGallery w:val="Page Numbers (Bottom of Page)"/>
          <w:docPartUnique/>
        </w:docPartObj>
      </w:sdtPr>
      <w:sdtContent>
        <w:r w:rsidR="00192A8C" w:rsidRPr="00B47A0F">
          <w:rPr>
            <w:sz w:val="28"/>
            <w:szCs w:val="28"/>
          </w:rPr>
          <w:fldChar w:fldCharType="begin"/>
        </w:r>
        <w:r w:rsidRPr="00B47A0F">
          <w:rPr>
            <w:sz w:val="28"/>
            <w:szCs w:val="28"/>
          </w:rPr>
          <w:instrText>PAGE   \* MERGEFORMAT</w:instrText>
        </w:r>
        <w:r w:rsidR="00192A8C" w:rsidRPr="00B47A0F">
          <w:rPr>
            <w:sz w:val="28"/>
            <w:szCs w:val="28"/>
          </w:rPr>
          <w:fldChar w:fldCharType="separate"/>
        </w:r>
        <w:r w:rsidR="004C2BE0" w:rsidRPr="004C2BE0">
          <w:rPr>
            <w:noProof/>
            <w:sz w:val="28"/>
            <w:szCs w:val="28"/>
            <w:lang w:val="zh-CN"/>
          </w:rPr>
          <w:t>2</w:t>
        </w:r>
        <w:r w:rsidR="00192A8C" w:rsidRPr="00B47A0F">
          <w:rPr>
            <w:sz w:val="28"/>
            <w:szCs w:val="28"/>
          </w:rPr>
          <w:fldChar w:fldCharType="end"/>
        </w:r>
        <w:r w:rsidRPr="00B47A0F">
          <w:rPr>
            <w:rFonts w:hint="eastAsia"/>
            <w:sz w:val="28"/>
            <w:szCs w:val="28"/>
          </w:rPr>
          <w:t>—</w:t>
        </w:r>
        <w:r w:rsidRPr="00B47A0F">
          <w:rPr>
            <w:rFonts w:hint="eastAsia"/>
            <w:color w:val="FFFFFF" w:themeColor="background1"/>
            <w:sz w:val="28"/>
            <w:szCs w:val="28"/>
          </w:rPr>
          <w:t>—</w:t>
        </w:r>
      </w:sdtContent>
    </w:sdt>
  </w:p>
  <w:p w:rsidR="00AF3113" w:rsidRDefault="00F71499" w:rsidP="00B47A0F">
    <w:pPr>
      <w:pStyle w:val="a4"/>
      <w:wordWrap w:val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1499" w:rsidRDefault="00F71499" w:rsidP="00441884">
      <w:r>
        <w:separator/>
      </w:r>
    </w:p>
  </w:footnote>
  <w:footnote w:type="continuationSeparator" w:id="1">
    <w:p w:rsidR="00F71499" w:rsidRDefault="00F71499" w:rsidP="004418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17D5"/>
    <w:rsid w:val="00192A8C"/>
    <w:rsid w:val="00367CD9"/>
    <w:rsid w:val="00441884"/>
    <w:rsid w:val="004817D5"/>
    <w:rsid w:val="004C2BE0"/>
    <w:rsid w:val="00705341"/>
    <w:rsid w:val="00C600F7"/>
    <w:rsid w:val="00DE33C9"/>
    <w:rsid w:val="00F136E5"/>
    <w:rsid w:val="00F71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88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18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188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188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1884"/>
    <w:rPr>
      <w:sz w:val="18"/>
      <w:szCs w:val="18"/>
    </w:rPr>
  </w:style>
  <w:style w:type="paragraph" w:styleId="a5">
    <w:name w:val="List Paragraph"/>
    <w:basedOn w:val="a"/>
    <w:uiPriority w:val="34"/>
    <w:qFormat/>
    <w:rsid w:val="00441884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88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18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188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188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1884"/>
    <w:rPr>
      <w:sz w:val="18"/>
      <w:szCs w:val="18"/>
    </w:rPr>
  </w:style>
  <w:style w:type="paragraph" w:styleId="a5">
    <w:name w:val="List Paragraph"/>
    <w:basedOn w:val="a"/>
    <w:uiPriority w:val="34"/>
    <w:qFormat/>
    <w:rsid w:val="00441884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456</Characters>
  <Application>Microsoft Office Word</Application>
  <DocSecurity>0</DocSecurity>
  <Lines>3</Lines>
  <Paragraphs>1</Paragraphs>
  <ScaleCrop>false</ScaleCrop>
  <Company>CFDA</Company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2017-06-01T10:13:00Z</dcterms:created>
  <dcterms:modified xsi:type="dcterms:W3CDTF">2017-06-01T10:13:00Z</dcterms:modified>
</cp:coreProperties>
</file>