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44" w:rsidRDefault="00E64344" w:rsidP="00E64344">
      <w:pPr>
        <w:spacing w:line="600" w:lineRule="exact"/>
        <w:rPr>
          <w:rFonts w:ascii="黑体" w:eastAsia="黑体" w:hAnsi="黑体"/>
          <w:sz w:val="32"/>
          <w:szCs w:val="32"/>
        </w:rPr>
      </w:pPr>
      <w:r w:rsidRPr="000845F6">
        <w:rPr>
          <w:rFonts w:ascii="黑体" w:eastAsia="黑体" w:hAnsi="黑体" w:hint="eastAsia"/>
          <w:sz w:val="32"/>
          <w:szCs w:val="32"/>
        </w:rPr>
        <w:t>附件</w:t>
      </w:r>
    </w:p>
    <w:p w:rsidR="00E64344" w:rsidRPr="000845F6" w:rsidRDefault="00E64344" w:rsidP="00E64344">
      <w:pPr>
        <w:spacing w:line="600" w:lineRule="exact"/>
        <w:rPr>
          <w:rFonts w:ascii="黑体" w:eastAsia="黑体" w:hAnsi="黑体"/>
          <w:sz w:val="32"/>
          <w:szCs w:val="32"/>
        </w:rPr>
      </w:pPr>
    </w:p>
    <w:p w:rsidR="00E64344" w:rsidRDefault="00E64344" w:rsidP="00E64344">
      <w:pPr>
        <w:spacing w:line="360" w:lineRule="auto"/>
        <w:jc w:val="center"/>
        <w:rPr>
          <w:rFonts w:eastAsia="方正小标宋简体"/>
          <w:sz w:val="44"/>
          <w:szCs w:val="44"/>
        </w:rPr>
      </w:pPr>
      <w:r w:rsidRPr="00A06C45">
        <w:rPr>
          <w:rFonts w:eastAsia="方正小标宋简体" w:hint="eastAsia"/>
          <w:sz w:val="44"/>
          <w:szCs w:val="44"/>
        </w:rPr>
        <w:t>注射用氨曲南</w:t>
      </w:r>
      <w:r>
        <w:rPr>
          <w:rFonts w:eastAsia="方正小标宋简体" w:hint="eastAsia"/>
          <w:sz w:val="44"/>
          <w:szCs w:val="44"/>
        </w:rPr>
        <w:t>说明书修订要求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</w:p>
    <w:p w:rsidR="00E64344" w:rsidRPr="00AF3F57" w:rsidRDefault="00E64344" w:rsidP="00E6434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F3F57">
        <w:rPr>
          <w:rFonts w:ascii="黑体" w:eastAsia="黑体" w:hAnsi="黑体" w:hint="eastAsia"/>
          <w:sz w:val="32"/>
          <w:szCs w:val="32"/>
        </w:rPr>
        <w:t>一、【不良反应】项修改为以下内容：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静脉给药可发生静脉炎或血栓性静脉炎，肌肉注射可产生局部不适或肿块，二者的发生率分别约为</w:t>
      </w:r>
      <w:r w:rsidRPr="00F37CEA">
        <w:rPr>
          <w:rFonts w:eastAsia="仿宋_GB2312"/>
          <w:sz w:val="32"/>
          <w:szCs w:val="32"/>
        </w:rPr>
        <w:t>1.9%</w:t>
      </w:r>
      <w:r w:rsidRPr="00F37CEA">
        <w:rPr>
          <w:rFonts w:eastAsia="仿宋_GB2312" w:hint="eastAsia"/>
          <w:sz w:val="32"/>
          <w:szCs w:val="32"/>
        </w:rPr>
        <w:t>和</w:t>
      </w:r>
      <w:r w:rsidRPr="00F37CEA">
        <w:rPr>
          <w:rFonts w:eastAsia="仿宋_GB2312"/>
          <w:sz w:val="32"/>
          <w:szCs w:val="32"/>
        </w:rPr>
        <w:t>2.4%</w:t>
      </w:r>
      <w:r w:rsidRPr="00F37CEA">
        <w:rPr>
          <w:rFonts w:eastAsia="仿宋_GB2312" w:hint="eastAsia"/>
          <w:sz w:val="32"/>
          <w:szCs w:val="32"/>
        </w:rPr>
        <w:t>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全身性不良反应发生率约</w:t>
      </w:r>
      <w:r w:rsidRPr="00F37CEA">
        <w:rPr>
          <w:rFonts w:eastAsia="仿宋_GB2312"/>
          <w:sz w:val="32"/>
          <w:szCs w:val="32"/>
        </w:rPr>
        <w:t>1%</w:t>
      </w:r>
      <w:r w:rsidRPr="00F37CEA">
        <w:rPr>
          <w:rFonts w:eastAsia="仿宋_GB2312" w:hint="eastAsia"/>
          <w:sz w:val="32"/>
          <w:szCs w:val="32"/>
        </w:rPr>
        <w:t>～</w:t>
      </w:r>
      <w:r w:rsidRPr="00F37CEA">
        <w:rPr>
          <w:rFonts w:eastAsia="仿宋_GB2312"/>
          <w:sz w:val="32"/>
          <w:szCs w:val="32"/>
        </w:rPr>
        <w:t>1.3%</w:t>
      </w:r>
      <w:r w:rsidRPr="00F37CEA">
        <w:rPr>
          <w:rFonts w:eastAsia="仿宋_GB2312" w:hint="eastAsia"/>
          <w:sz w:val="32"/>
          <w:szCs w:val="32"/>
        </w:rPr>
        <w:t>，包括恶心、呕吐、腹泻及皮疹。发生率小于</w:t>
      </w:r>
      <w:r w:rsidRPr="00F37CEA">
        <w:rPr>
          <w:rFonts w:eastAsia="仿宋_GB2312"/>
          <w:sz w:val="32"/>
          <w:szCs w:val="32"/>
        </w:rPr>
        <w:t>1%</w:t>
      </w:r>
      <w:r w:rsidRPr="00F37CEA">
        <w:rPr>
          <w:rFonts w:eastAsia="仿宋_GB2312" w:hint="eastAsia"/>
          <w:sz w:val="32"/>
          <w:szCs w:val="32"/>
        </w:rPr>
        <w:t>的不良反应按系统分类如下：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过敏反应：过敏性休克、血管神经性水肿、支气管痉挛、过敏样反应。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皮肤及其附件：中毒性表皮坏死松解症、紫癜、多形性红斑、剥脱性皮炎、荨麻疹、瘙痒。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呼吸系统：咳嗽、哮喘、胸闷、呼吸困难、胸痛、喉水肿。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消化系统：口腔溃疡、舌头麻木、味觉改变、腹痛、罕见难辨梭菌腹泻，包括伪膜性肠炎和消化道出血。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全身性损害：寒战、发热、乏力、不适、出汗、面部潮红。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神经系统及精神障碍：头晕、头痛、眩晕、失眠、癫痫，精神错乱、感觉异常、震颤。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血液系统：血小板减少、白细胞减少、中性粒细胞减少、贫血。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lastRenderedPageBreak/>
        <w:t>心血管系统：心悸、低血压、一过性心电图变化（室性二联和</w:t>
      </w:r>
      <w:r w:rsidRPr="00F37CEA">
        <w:rPr>
          <w:rFonts w:eastAsia="仿宋_GB2312"/>
          <w:sz w:val="32"/>
          <w:szCs w:val="32"/>
        </w:rPr>
        <w:t>PVC</w:t>
      </w:r>
      <w:r w:rsidRPr="00F37CEA">
        <w:rPr>
          <w:rFonts w:eastAsia="仿宋_GB2312" w:hint="eastAsia"/>
          <w:sz w:val="32"/>
          <w:szCs w:val="32"/>
        </w:rPr>
        <w:t>）。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肝胆系统：肝功能异常、</w:t>
      </w:r>
      <w:r w:rsidRPr="00F37CEA">
        <w:rPr>
          <w:rFonts w:eastAsia="仿宋_GB2312"/>
          <w:sz w:val="32"/>
          <w:szCs w:val="32"/>
        </w:rPr>
        <w:t>AST</w:t>
      </w:r>
      <w:r w:rsidRPr="00F37CEA">
        <w:rPr>
          <w:rFonts w:eastAsia="仿宋_GB2312" w:hint="eastAsia"/>
          <w:sz w:val="32"/>
          <w:szCs w:val="32"/>
        </w:rPr>
        <w:t>升高，</w:t>
      </w:r>
      <w:r w:rsidRPr="00F37CEA">
        <w:rPr>
          <w:rFonts w:eastAsia="仿宋_GB2312"/>
          <w:sz w:val="32"/>
          <w:szCs w:val="32"/>
        </w:rPr>
        <w:t>ALT</w:t>
      </w:r>
      <w:r w:rsidRPr="00F37CEA">
        <w:rPr>
          <w:rFonts w:eastAsia="仿宋_GB2312" w:hint="eastAsia"/>
          <w:sz w:val="32"/>
          <w:szCs w:val="32"/>
        </w:rPr>
        <w:t>升高，黄疸、肝炎。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 w:hint="eastAsia"/>
          <w:sz w:val="32"/>
          <w:szCs w:val="32"/>
        </w:rPr>
        <w:t>其他：肌肉疼痛、肌酐升高、耳鸣、复视、视力异常。</w:t>
      </w:r>
    </w:p>
    <w:p w:rsidR="00E64344" w:rsidRPr="00AF3F57" w:rsidRDefault="00E64344" w:rsidP="00E6434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AF3F57">
        <w:rPr>
          <w:rFonts w:ascii="黑体" w:eastAsia="黑体" w:hAnsi="黑体" w:hint="eastAsia"/>
          <w:sz w:val="32"/>
          <w:szCs w:val="32"/>
        </w:rPr>
        <w:t>二、【注意事项】增加以下内容：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/>
          <w:sz w:val="32"/>
          <w:szCs w:val="32"/>
        </w:rPr>
        <w:t>1.</w:t>
      </w:r>
      <w:r w:rsidRPr="00F37CEA">
        <w:rPr>
          <w:rFonts w:eastAsia="仿宋_GB2312" w:hint="eastAsia"/>
          <w:sz w:val="32"/>
          <w:szCs w:val="32"/>
        </w:rPr>
        <w:t>肝肾功能受损的患者，在治疗期间应观察其动态变化。</w:t>
      </w:r>
    </w:p>
    <w:p w:rsidR="00E64344" w:rsidRPr="00F37CEA" w:rsidRDefault="00E64344" w:rsidP="00E64344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 w:rsidRPr="00F37CEA">
        <w:rPr>
          <w:rFonts w:eastAsia="仿宋_GB2312"/>
          <w:sz w:val="32"/>
          <w:szCs w:val="32"/>
        </w:rPr>
        <w:t>2.</w:t>
      </w:r>
      <w:r w:rsidRPr="00F37CEA">
        <w:rPr>
          <w:rFonts w:eastAsia="仿宋_GB2312" w:hint="eastAsia"/>
          <w:sz w:val="32"/>
          <w:szCs w:val="32"/>
        </w:rPr>
        <w:t>氨曲南与氨基糖苷类抗生素联合使用，特别是氨基糖苷类药品使用量大或治疗期长时，应监测肾功能。</w:t>
      </w:r>
    </w:p>
    <w:sectPr w:rsidR="00E64344" w:rsidRPr="00F37CEA" w:rsidSect="00F37CEA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F01" w:rsidRDefault="00490F01" w:rsidP="00E64344">
      <w:r>
        <w:separator/>
      </w:r>
    </w:p>
  </w:endnote>
  <w:endnote w:type="continuationSeparator" w:id="1">
    <w:p w:rsidR="00490F01" w:rsidRDefault="00490F01" w:rsidP="00E64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917156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F3F57" w:rsidRPr="00F37CEA" w:rsidRDefault="00AE020C">
        <w:pPr>
          <w:pStyle w:val="a4"/>
          <w:rPr>
            <w:sz w:val="28"/>
            <w:szCs w:val="28"/>
          </w:rPr>
        </w:pPr>
        <w:r w:rsidRPr="00F37CEA">
          <w:rPr>
            <w:rFonts w:hint="eastAsia"/>
            <w:color w:val="FFFFFF" w:themeColor="background1"/>
            <w:sz w:val="28"/>
            <w:szCs w:val="28"/>
          </w:rPr>
          <w:t>—</w:t>
        </w:r>
        <w:r w:rsidRPr="00F37CEA">
          <w:rPr>
            <w:rFonts w:hint="eastAsia"/>
            <w:sz w:val="28"/>
            <w:szCs w:val="28"/>
          </w:rPr>
          <w:t>—</w:t>
        </w:r>
        <w:r w:rsidR="00917004" w:rsidRPr="00F37CEA">
          <w:rPr>
            <w:sz w:val="28"/>
            <w:szCs w:val="28"/>
          </w:rPr>
          <w:fldChar w:fldCharType="begin"/>
        </w:r>
        <w:r w:rsidRPr="00F37CEA">
          <w:rPr>
            <w:sz w:val="28"/>
            <w:szCs w:val="28"/>
          </w:rPr>
          <w:instrText>PAGE   \* MERGEFORMAT</w:instrText>
        </w:r>
        <w:r w:rsidR="00917004" w:rsidRPr="00F37CEA">
          <w:rPr>
            <w:sz w:val="28"/>
            <w:szCs w:val="28"/>
          </w:rPr>
          <w:fldChar w:fldCharType="separate"/>
        </w:r>
        <w:r w:rsidRPr="000043D8">
          <w:rPr>
            <w:noProof/>
            <w:sz w:val="28"/>
            <w:szCs w:val="28"/>
            <w:lang w:val="zh-CN"/>
          </w:rPr>
          <w:t>4</w:t>
        </w:r>
        <w:r w:rsidR="00917004" w:rsidRPr="00F37CEA">
          <w:rPr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>—</w:t>
        </w:r>
      </w:p>
    </w:sdtContent>
  </w:sdt>
  <w:p w:rsidR="00AF3F57" w:rsidRDefault="00490F0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5458470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AF3F57" w:rsidRPr="00F37CEA" w:rsidRDefault="00AE020C">
        <w:pPr>
          <w:pStyle w:val="a4"/>
          <w:jc w:val="right"/>
          <w:rPr>
            <w:sz w:val="28"/>
            <w:szCs w:val="28"/>
          </w:rPr>
        </w:pPr>
        <w:r w:rsidRPr="00F37CEA">
          <w:rPr>
            <w:rFonts w:hint="eastAsia"/>
            <w:sz w:val="28"/>
            <w:szCs w:val="28"/>
          </w:rPr>
          <w:t>—</w:t>
        </w:r>
        <w:r w:rsidR="00917004" w:rsidRPr="00F37CEA">
          <w:rPr>
            <w:sz w:val="28"/>
            <w:szCs w:val="28"/>
          </w:rPr>
          <w:fldChar w:fldCharType="begin"/>
        </w:r>
        <w:r w:rsidRPr="00F37CEA">
          <w:rPr>
            <w:sz w:val="28"/>
            <w:szCs w:val="28"/>
          </w:rPr>
          <w:instrText>PAGE   \* MERGEFORMAT</w:instrText>
        </w:r>
        <w:r w:rsidR="00917004" w:rsidRPr="00F37CEA">
          <w:rPr>
            <w:sz w:val="28"/>
            <w:szCs w:val="28"/>
          </w:rPr>
          <w:fldChar w:fldCharType="separate"/>
        </w:r>
        <w:r w:rsidR="00BD7264" w:rsidRPr="00BD7264">
          <w:rPr>
            <w:noProof/>
            <w:sz w:val="28"/>
            <w:szCs w:val="28"/>
            <w:lang w:val="zh-CN"/>
          </w:rPr>
          <w:t>2</w:t>
        </w:r>
        <w:r w:rsidR="00917004" w:rsidRPr="00F37CEA">
          <w:rPr>
            <w:sz w:val="28"/>
            <w:szCs w:val="28"/>
          </w:rPr>
          <w:fldChar w:fldCharType="end"/>
        </w:r>
        <w:r w:rsidRPr="00AF3F57">
          <w:rPr>
            <w:rFonts w:hint="eastAsia"/>
            <w:sz w:val="28"/>
            <w:szCs w:val="28"/>
          </w:rPr>
          <w:t>—</w:t>
        </w:r>
        <w:r w:rsidRPr="00F37CEA">
          <w:rPr>
            <w:rFonts w:hint="eastAsia"/>
            <w:color w:val="FFFFFF" w:themeColor="background1"/>
            <w:sz w:val="28"/>
            <w:szCs w:val="28"/>
          </w:rPr>
          <w:t>—</w:t>
        </w:r>
      </w:p>
    </w:sdtContent>
  </w:sdt>
  <w:p w:rsidR="00C81A1D" w:rsidRDefault="00490F0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F01" w:rsidRDefault="00490F01" w:rsidP="00E64344">
      <w:r>
        <w:separator/>
      </w:r>
    </w:p>
  </w:footnote>
  <w:footnote w:type="continuationSeparator" w:id="1">
    <w:p w:rsidR="00490F01" w:rsidRDefault="00490F01" w:rsidP="00E643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241B"/>
    <w:rsid w:val="00490F01"/>
    <w:rsid w:val="00530885"/>
    <w:rsid w:val="008A241B"/>
    <w:rsid w:val="00917004"/>
    <w:rsid w:val="00AE020C"/>
    <w:rsid w:val="00BD7264"/>
    <w:rsid w:val="00E643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4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43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43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4344"/>
    <w:rPr>
      <w:sz w:val="18"/>
      <w:szCs w:val="18"/>
    </w:rPr>
  </w:style>
  <w:style w:type="paragraph" w:styleId="a5">
    <w:name w:val="List Paragraph"/>
    <w:basedOn w:val="a"/>
    <w:uiPriority w:val="34"/>
    <w:qFormat/>
    <w:rsid w:val="00E6434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4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4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6434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6434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64344"/>
    <w:rPr>
      <w:sz w:val="18"/>
      <w:szCs w:val="18"/>
    </w:rPr>
  </w:style>
  <w:style w:type="paragraph" w:styleId="a5">
    <w:name w:val="List Paragraph"/>
    <w:basedOn w:val="a"/>
    <w:uiPriority w:val="34"/>
    <w:qFormat/>
    <w:rsid w:val="00E64344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482</Characters>
  <Application>Microsoft Office Word</Application>
  <DocSecurity>0</DocSecurity>
  <Lines>4</Lines>
  <Paragraphs>1</Paragraphs>
  <ScaleCrop>false</ScaleCrop>
  <Company>CFDA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2017-02-14T09:02:00Z</dcterms:created>
  <dcterms:modified xsi:type="dcterms:W3CDTF">2017-02-14T09:02:00Z</dcterms:modified>
</cp:coreProperties>
</file>