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E64" w:rsidRDefault="00D61E64" w:rsidP="00D61E64">
      <w:pPr>
        <w:spacing w:line="360" w:lineRule="auto"/>
        <w:jc w:val="left"/>
        <w:rPr>
          <w:rFonts w:ascii="黑体" w:eastAsia="黑体" w:hAnsi="黑体"/>
          <w:sz w:val="32"/>
          <w:szCs w:val="32"/>
        </w:rPr>
      </w:pPr>
      <w:r w:rsidRPr="007661EF">
        <w:rPr>
          <w:rFonts w:ascii="黑体" w:eastAsia="黑体" w:hAnsi="黑体" w:hint="eastAsia"/>
          <w:sz w:val="32"/>
          <w:szCs w:val="32"/>
        </w:rPr>
        <w:t>附件2</w:t>
      </w:r>
    </w:p>
    <w:p w:rsidR="00D61E64" w:rsidRPr="007661EF" w:rsidRDefault="00D61E64" w:rsidP="00D61E64">
      <w:pPr>
        <w:spacing w:line="360" w:lineRule="auto"/>
        <w:jc w:val="left"/>
        <w:rPr>
          <w:rFonts w:ascii="黑体" w:eastAsia="黑体" w:hAnsi="黑体"/>
          <w:sz w:val="32"/>
          <w:szCs w:val="32"/>
        </w:rPr>
      </w:pPr>
    </w:p>
    <w:p w:rsidR="00D61E64" w:rsidRDefault="00D61E64" w:rsidP="00D61E64">
      <w:pPr>
        <w:spacing w:line="360" w:lineRule="auto"/>
        <w:jc w:val="center"/>
        <w:rPr>
          <w:rFonts w:ascii="方正小标宋简体" w:eastAsia="方正小标宋简体" w:hAnsi="宋体"/>
          <w:sz w:val="44"/>
          <w:szCs w:val="44"/>
        </w:rPr>
      </w:pPr>
      <w:r w:rsidRPr="00853174">
        <w:rPr>
          <w:rFonts w:ascii="方正小标宋简体" w:eastAsia="方正小标宋简体" w:hAnsi="宋体" w:hint="eastAsia"/>
          <w:sz w:val="44"/>
          <w:szCs w:val="44"/>
        </w:rPr>
        <w:t>注射用吗替麦考酚酯说明书修订要求</w:t>
      </w:r>
    </w:p>
    <w:p w:rsidR="00D61E64" w:rsidRPr="00853174" w:rsidRDefault="00D61E64" w:rsidP="00D61E64">
      <w:pPr>
        <w:spacing w:line="360" w:lineRule="exact"/>
        <w:jc w:val="center"/>
        <w:rPr>
          <w:rFonts w:ascii="方正小标宋简体" w:eastAsia="方正小标宋简体" w:hAnsi="宋体"/>
          <w:sz w:val="44"/>
          <w:szCs w:val="44"/>
        </w:rPr>
      </w:pPr>
    </w:p>
    <w:p w:rsidR="00D61E64" w:rsidRPr="00917AE0" w:rsidRDefault="00D61E64" w:rsidP="00D61E64">
      <w:pPr>
        <w:spacing w:line="360" w:lineRule="auto"/>
        <w:ind w:firstLineChars="200" w:firstLine="640"/>
        <w:jc w:val="left"/>
        <w:rPr>
          <w:rFonts w:ascii="黑体" w:eastAsia="黑体" w:hAnsi="黑体"/>
          <w:sz w:val="32"/>
          <w:szCs w:val="32"/>
        </w:rPr>
      </w:pPr>
      <w:r w:rsidRPr="00917AE0">
        <w:rPr>
          <w:rFonts w:ascii="黑体" w:eastAsia="黑体" w:hAnsi="黑体" w:hint="eastAsia"/>
          <w:sz w:val="32"/>
          <w:szCs w:val="32"/>
        </w:rPr>
        <w:t>一、</w:t>
      </w:r>
      <w:r w:rsidRPr="00917AE0">
        <w:rPr>
          <w:rFonts w:ascii="黑体" w:eastAsia="黑体" w:hAnsi="黑体"/>
          <w:sz w:val="32"/>
          <w:szCs w:val="32"/>
        </w:rPr>
        <w:t>增加</w:t>
      </w:r>
      <w:r w:rsidRPr="00917AE0">
        <w:rPr>
          <w:rFonts w:ascii="黑体" w:eastAsia="黑体" w:hAnsi="黑体" w:hint="eastAsia"/>
          <w:sz w:val="32"/>
          <w:szCs w:val="32"/>
        </w:rPr>
        <w:t>黑框警告项，内容应包括：</w:t>
      </w:r>
    </w:p>
    <w:p w:rsidR="00D61E64" w:rsidRPr="00B701D2" w:rsidRDefault="00D61E64" w:rsidP="00D61E64">
      <w:pPr>
        <w:spacing w:line="360" w:lineRule="auto"/>
        <w:ind w:firstLineChars="200" w:firstLine="640"/>
        <w:jc w:val="left"/>
        <w:rPr>
          <w:rFonts w:eastAsia="仿宋_GB2312"/>
          <w:sz w:val="32"/>
          <w:szCs w:val="32"/>
        </w:rPr>
      </w:pPr>
      <w:r w:rsidRPr="00B701D2">
        <w:rPr>
          <w:rFonts w:eastAsia="仿宋_GB2312" w:hint="eastAsia"/>
          <w:sz w:val="32"/>
          <w:szCs w:val="32"/>
        </w:rPr>
        <w:t>免疫抑制剂会增加感染的易感性，可能促进淋巴瘤和其他肿瘤的发生。只有对免疫抑制治疗和对接受器官移植的患者有经验的专科医师才可以使用本品，患者应在配备相应的医疗设备和实验室人员及可支持的医疗条件下接受本品的治疗。负责病人长期随访的医师应掌握病人的全面信息以便对患者进行必要的随访。</w:t>
      </w:r>
    </w:p>
    <w:p w:rsidR="00D61E64" w:rsidRPr="00B701D2" w:rsidRDefault="00D61E64" w:rsidP="00D61E64">
      <w:pPr>
        <w:spacing w:line="360" w:lineRule="auto"/>
        <w:ind w:firstLineChars="200" w:firstLine="640"/>
        <w:jc w:val="left"/>
        <w:rPr>
          <w:rFonts w:eastAsia="仿宋_GB2312"/>
          <w:sz w:val="32"/>
          <w:szCs w:val="32"/>
        </w:rPr>
      </w:pPr>
      <w:r w:rsidRPr="00B701D2">
        <w:rPr>
          <w:rFonts w:eastAsia="仿宋_GB2312" w:hint="eastAsia"/>
          <w:sz w:val="32"/>
          <w:szCs w:val="32"/>
        </w:rPr>
        <w:t>使用本品的</w:t>
      </w:r>
      <w:r w:rsidRPr="00B701D2">
        <w:rPr>
          <w:rFonts w:eastAsia="仿宋_GB2312"/>
          <w:sz w:val="32"/>
          <w:szCs w:val="32"/>
        </w:rPr>
        <w:t>育龄妇女必须采用避孕措施。在妊娠期间使用</w:t>
      </w:r>
      <w:r w:rsidRPr="00B701D2">
        <w:rPr>
          <w:rFonts w:eastAsia="仿宋_GB2312" w:hint="eastAsia"/>
          <w:sz w:val="32"/>
          <w:szCs w:val="32"/>
        </w:rPr>
        <w:t>本品</w:t>
      </w:r>
      <w:r w:rsidRPr="00B701D2">
        <w:rPr>
          <w:rFonts w:eastAsia="仿宋_GB2312"/>
          <w:sz w:val="32"/>
          <w:szCs w:val="32"/>
        </w:rPr>
        <w:t>可能增加流产、先天性畸形等风险。</w:t>
      </w:r>
    </w:p>
    <w:p w:rsidR="00D61E64" w:rsidRPr="00917AE0" w:rsidRDefault="00D61E64" w:rsidP="00D61E64">
      <w:pPr>
        <w:spacing w:line="360" w:lineRule="auto"/>
        <w:ind w:firstLineChars="200" w:firstLine="640"/>
        <w:jc w:val="left"/>
        <w:rPr>
          <w:rFonts w:ascii="黑体" w:eastAsia="黑体" w:hAnsi="黑体"/>
          <w:sz w:val="32"/>
          <w:szCs w:val="32"/>
        </w:rPr>
      </w:pPr>
      <w:r w:rsidRPr="00917AE0">
        <w:rPr>
          <w:rFonts w:ascii="黑体" w:eastAsia="黑体" w:hAnsi="黑体" w:hint="eastAsia"/>
          <w:sz w:val="32"/>
          <w:szCs w:val="32"/>
        </w:rPr>
        <w:t>二、【不良反应】项应包括：</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与免疫抑制剂使用有关的不良反应特征经常难以建立，一方面是因为基础疾病的存在，另一方面是因为其它多种药物的联合应用。</w:t>
      </w:r>
    </w:p>
    <w:p w:rsidR="00D61E64" w:rsidRPr="00B701D2" w:rsidRDefault="00D61E64" w:rsidP="00D61E64">
      <w:pPr>
        <w:spacing w:line="360" w:lineRule="auto"/>
        <w:ind w:firstLineChars="200" w:firstLine="640"/>
        <w:rPr>
          <w:rFonts w:eastAsia="楷体_GB2312"/>
          <w:bCs/>
          <w:sz w:val="32"/>
          <w:szCs w:val="32"/>
        </w:rPr>
      </w:pPr>
      <w:r w:rsidRPr="00B701D2">
        <w:rPr>
          <w:rFonts w:eastAsia="楷体_GB2312"/>
          <w:bCs/>
          <w:sz w:val="32"/>
          <w:szCs w:val="32"/>
        </w:rPr>
        <w:t>临床试验</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在预防性肾脏，心脏和肝脏移植的排斥治疗反应过程中，使用本品联合环孢霉素和皮质类固醇激素的主要不良反应包括腹泻、白细胞减少症、败血症以及呕吐，而且有迹象表明存在着某种类型的感染</w:t>
      </w:r>
      <w:r w:rsidRPr="00B701D2">
        <w:rPr>
          <w:rFonts w:eastAsia="仿宋_GB2312" w:hint="eastAsia"/>
          <w:sz w:val="32"/>
          <w:szCs w:val="32"/>
        </w:rPr>
        <w:t>发生率增加</w:t>
      </w:r>
      <w:r w:rsidRPr="00B701D2">
        <w:rPr>
          <w:rFonts w:eastAsia="仿宋_GB2312"/>
          <w:sz w:val="32"/>
          <w:szCs w:val="32"/>
        </w:rPr>
        <w:t>，例如，</w:t>
      </w:r>
      <w:r w:rsidRPr="00B701D2">
        <w:rPr>
          <w:rFonts w:eastAsia="仿宋_GB2312" w:hint="eastAsia"/>
          <w:sz w:val="32"/>
          <w:szCs w:val="32"/>
        </w:rPr>
        <w:t>机会</w:t>
      </w:r>
      <w:r w:rsidRPr="00B701D2">
        <w:rPr>
          <w:rFonts w:eastAsia="仿宋_GB2312"/>
          <w:sz w:val="32"/>
          <w:szCs w:val="32"/>
        </w:rPr>
        <w:t>感染</w:t>
      </w:r>
      <w:r w:rsidRPr="00B701D2">
        <w:rPr>
          <w:rFonts w:eastAsia="仿宋_GB2312" w:hint="eastAsia"/>
          <w:sz w:val="32"/>
          <w:szCs w:val="32"/>
        </w:rPr>
        <w:t>等</w:t>
      </w:r>
      <w:r w:rsidRPr="00B701D2">
        <w:rPr>
          <w:rFonts w:eastAsia="仿宋_GB2312"/>
          <w:sz w:val="32"/>
          <w:szCs w:val="32"/>
        </w:rPr>
        <w:t>（见【</w:t>
      </w:r>
      <w:r w:rsidRPr="00B701D2">
        <w:rPr>
          <w:rFonts w:eastAsia="仿宋_GB2312" w:hint="eastAsia"/>
          <w:sz w:val="32"/>
          <w:szCs w:val="32"/>
        </w:rPr>
        <w:t>注意事项</w:t>
      </w:r>
      <w:r w:rsidRPr="00B701D2">
        <w:rPr>
          <w:rFonts w:eastAsia="仿宋_GB2312"/>
          <w:sz w:val="32"/>
          <w:szCs w:val="32"/>
        </w:rPr>
        <w:t>】）。</w:t>
      </w:r>
      <w:r w:rsidRPr="00B701D2">
        <w:rPr>
          <w:rFonts w:eastAsia="仿宋_GB2312"/>
          <w:sz w:val="32"/>
          <w:szCs w:val="32"/>
        </w:rPr>
        <w:lastRenderedPageBreak/>
        <w:t>研究显示，与本品静脉注射给药有关的不良反应特征与在口服给药中观察到的相似。</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使用本品治疗难治性肾脏移植的排斥反应的安全性特征与在三组对照中的，每日</w:t>
      </w:r>
      <w:r w:rsidRPr="00B701D2">
        <w:rPr>
          <w:rFonts w:eastAsia="仿宋_GB2312"/>
          <w:sz w:val="32"/>
          <w:szCs w:val="32"/>
        </w:rPr>
        <w:t>3g</w:t>
      </w:r>
      <w:r w:rsidRPr="00B701D2">
        <w:rPr>
          <w:rFonts w:eastAsia="仿宋_GB2312"/>
          <w:sz w:val="32"/>
          <w:szCs w:val="32"/>
        </w:rPr>
        <w:t>、预防肾脏排斥反应的试验中观察到的特征相同。同接受静注皮质类固醇激素治疗的患者相比，腹泻和白细胞减少症，伴随贫血、恶心、腹痛、败血症、恶心和呕吐、消化不良等不良反应是主要的报道较多的不良事件。</w:t>
      </w:r>
    </w:p>
    <w:p w:rsidR="00D61E64" w:rsidRPr="00B701D2" w:rsidRDefault="00D61E64" w:rsidP="00D61E64">
      <w:pPr>
        <w:spacing w:line="360" w:lineRule="auto"/>
        <w:ind w:firstLineChars="200" w:firstLine="640"/>
        <w:rPr>
          <w:rFonts w:eastAsia="楷体_GB2312"/>
          <w:bCs/>
          <w:sz w:val="32"/>
          <w:szCs w:val="32"/>
        </w:rPr>
      </w:pPr>
      <w:r w:rsidRPr="00B701D2">
        <w:rPr>
          <w:rFonts w:eastAsia="楷体_GB2312"/>
          <w:bCs/>
          <w:sz w:val="32"/>
          <w:szCs w:val="32"/>
        </w:rPr>
        <w:t>恶性肿瘤</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接受免疫抑制方案的患者，包括合并药物的患者，接受本品作为部分免疫抑制的患者，发生淋巴瘤和</w:t>
      </w:r>
      <w:r w:rsidRPr="00B701D2">
        <w:rPr>
          <w:rFonts w:eastAsia="仿宋_GB2312" w:hint="eastAsia"/>
          <w:sz w:val="32"/>
          <w:szCs w:val="32"/>
        </w:rPr>
        <w:t>其他</w:t>
      </w:r>
      <w:r w:rsidRPr="00B701D2">
        <w:rPr>
          <w:rFonts w:eastAsia="仿宋_GB2312"/>
          <w:sz w:val="32"/>
          <w:szCs w:val="32"/>
        </w:rPr>
        <w:t>恶性肿瘤的危险性增加，尤其是皮肤发生的危险性增加（见【</w:t>
      </w:r>
      <w:r w:rsidRPr="00B701D2">
        <w:rPr>
          <w:rFonts w:eastAsia="仿宋_GB2312" w:hint="eastAsia"/>
          <w:sz w:val="32"/>
          <w:szCs w:val="32"/>
        </w:rPr>
        <w:t>注意事项</w:t>
      </w:r>
      <w:r w:rsidRPr="00B701D2">
        <w:rPr>
          <w:rFonts w:eastAsia="仿宋_GB2312"/>
          <w:sz w:val="32"/>
          <w:szCs w:val="32"/>
        </w:rPr>
        <w:t>】）。</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在对肾脏，心脏和肝脏移植随访至少</w:t>
      </w:r>
      <w:r w:rsidRPr="00B701D2">
        <w:rPr>
          <w:rFonts w:eastAsia="仿宋_GB2312"/>
          <w:sz w:val="32"/>
          <w:szCs w:val="32"/>
        </w:rPr>
        <w:t>1</w:t>
      </w:r>
      <w:r w:rsidRPr="00B701D2">
        <w:rPr>
          <w:rFonts w:eastAsia="仿宋_GB2312"/>
          <w:sz w:val="32"/>
          <w:szCs w:val="32"/>
        </w:rPr>
        <w:t>年的患者进行的对照临床试验当中，接受本品治疗（</w:t>
      </w:r>
      <w:r w:rsidRPr="00B701D2">
        <w:rPr>
          <w:rFonts w:eastAsia="仿宋_GB2312"/>
          <w:sz w:val="32"/>
          <w:szCs w:val="32"/>
        </w:rPr>
        <w:t>2g</w:t>
      </w:r>
      <w:r w:rsidRPr="00B701D2">
        <w:rPr>
          <w:rFonts w:eastAsia="仿宋_GB2312"/>
          <w:sz w:val="32"/>
          <w:szCs w:val="32"/>
        </w:rPr>
        <w:t>或者</w:t>
      </w:r>
      <w:r w:rsidRPr="00B701D2">
        <w:rPr>
          <w:rFonts w:eastAsia="仿宋_GB2312"/>
          <w:sz w:val="32"/>
          <w:szCs w:val="32"/>
        </w:rPr>
        <w:t>3g</w:t>
      </w:r>
      <w:r w:rsidRPr="00B701D2">
        <w:rPr>
          <w:rFonts w:eastAsia="仿宋_GB2312"/>
          <w:sz w:val="32"/>
          <w:szCs w:val="32"/>
        </w:rPr>
        <w:t>每日）联合其它免疫抑制剂治疗的患者，有</w:t>
      </w:r>
      <w:r w:rsidRPr="00B701D2">
        <w:rPr>
          <w:rFonts w:eastAsia="仿宋_GB2312"/>
          <w:sz w:val="32"/>
          <w:szCs w:val="32"/>
        </w:rPr>
        <w:t>0.4%</w:t>
      </w:r>
      <w:r w:rsidRPr="00B701D2">
        <w:rPr>
          <w:rFonts w:eastAsia="仿宋_GB2312"/>
          <w:sz w:val="32"/>
          <w:szCs w:val="32"/>
        </w:rPr>
        <w:t>到</w:t>
      </w:r>
      <w:r w:rsidRPr="00B701D2">
        <w:rPr>
          <w:rFonts w:eastAsia="仿宋_GB2312"/>
          <w:sz w:val="32"/>
          <w:szCs w:val="32"/>
        </w:rPr>
        <w:t>1%</w:t>
      </w:r>
      <w:r w:rsidRPr="00B701D2">
        <w:rPr>
          <w:rFonts w:eastAsia="仿宋_GB2312"/>
          <w:sz w:val="32"/>
          <w:szCs w:val="32"/>
        </w:rPr>
        <w:t>发生淋巴增</w:t>
      </w:r>
      <w:r w:rsidRPr="00B701D2">
        <w:rPr>
          <w:rFonts w:eastAsia="仿宋_GB2312" w:hint="eastAsia"/>
          <w:sz w:val="32"/>
          <w:szCs w:val="32"/>
        </w:rPr>
        <w:t>生</w:t>
      </w:r>
      <w:r w:rsidRPr="00B701D2">
        <w:rPr>
          <w:rFonts w:eastAsia="仿宋_GB2312"/>
          <w:sz w:val="32"/>
          <w:szCs w:val="32"/>
        </w:rPr>
        <w:t>性疾病或者淋巴瘤。</w:t>
      </w:r>
      <w:r w:rsidRPr="00B701D2">
        <w:rPr>
          <w:rFonts w:eastAsia="仿宋_GB2312"/>
          <w:sz w:val="32"/>
          <w:szCs w:val="32"/>
        </w:rPr>
        <w:t>1.6%</w:t>
      </w:r>
      <w:r w:rsidRPr="00B701D2">
        <w:rPr>
          <w:rFonts w:eastAsia="仿宋_GB2312"/>
          <w:sz w:val="32"/>
          <w:szCs w:val="32"/>
        </w:rPr>
        <w:t>到</w:t>
      </w:r>
      <w:r w:rsidRPr="00B701D2">
        <w:rPr>
          <w:rFonts w:eastAsia="仿宋_GB2312"/>
          <w:sz w:val="32"/>
          <w:szCs w:val="32"/>
        </w:rPr>
        <w:t>3.2%</w:t>
      </w:r>
      <w:r w:rsidRPr="00B701D2">
        <w:rPr>
          <w:rFonts w:eastAsia="仿宋_GB2312"/>
          <w:sz w:val="32"/>
          <w:szCs w:val="32"/>
        </w:rPr>
        <w:t>的患者出现非黑色素瘤型皮肤癌；</w:t>
      </w:r>
      <w:r w:rsidRPr="00B701D2">
        <w:rPr>
          <w:rFonts w:eastAsia="仿宋_GB2312"/>
          <w:sz w:val="32"/>
          <w:szCs w:val="32"/>
        </w:rPr>
        <w:t>0.7%</w:t>
      </w:r>
      <w:r w:rsidRPr="00B701D2">
        <w:rPr>
          <w:rFonts w:eastAsia="仿宋_GB2312"/>
          <w:sz w:val="32"/>
          <w:szCs w:val="32"/>
        </w:rPr>
        <w:t>到</w:t>
      </w:r>
      <w:r w:rsidRPr="00B701D2">
        <w:rPr>
          <w:rFonts w:eastAsia="仿宋_GB2312"/>
          <w:sz w:val="32"/>
          <w:szCs w:val="32"/>
        </w:rPr>
        <w:t>2.1%</w:t>
      </w:r>
      <w:r w:rsidRPr="00B701D2">
        <w:rPr>
          <w:rFonts w:eastAsia="仿宋_GB2312"/>
          <w:sz w:val="32"/>
          <w:szCs w:val="32"/>
        </w:rPr>
        <w:t>的患者出现其它类型的恶性肿瘤。在肾脏和心脏移植的患者的</w:t>
      </w:r>
      <w:r w:rsidRPr="00B701D2">
        <w:rPr>
          <w:rFonts w:eastAsia="仿宋_GB2312"/>
          <w:sz w:val="32"/>
          <w:szCs w:val="32"/>
        </w:rPr>
        <w:t>3</w:t>
      </w:r>
      <w:r w:rsidRPr="00B701D2">
        <w:rPr>
          <w:rFonts w:eastAsia="仿宋_GB2312"/>
          <w:sz w:val="32"/>
          <w:szCs w:val="32"/>
        </w:rPr>
        <w:t>年安全性资料当中，恶性肿瘤的发病率与</w:t>
      </w:r>
      <w:r w:rsidRPr="00B701D2">
        <w:rPr>
          <w:rFonts w:eastAsia="仿宋_GB2312"/>
          <w:sz w:val="32"/>
          <w:szCs w:val="32"/>
        </w:rPr>
        <w:t>1</w:t>
      </w:r>
      <w:r w:rsidRPr="00B701D2">
        <w:rPr>
          <w:rFonts w:eastAsia="仿宋_GB2312"/>
          <w:sz w:val="32"/>
          <w:szCs w:val="32"/>
        </w:rPr>
        <w:t>年的资料相比，并没有发现任何意外改变。肝脏移植受者均随访了</w:t>
      </w:r>
      <w:r w:rsidRPr="00B701D2">
        <w:rPr>
          <w:rFonts w:eastAsia="仿宋_GB2312"/>
          <w:sz w:val="32"/>
          <w:szCs w:val="32"/>
        </w:rPr>
        <w:t>1</w:t>
      </w:r>
      <w:r w:rsidRPr="00B701D2">
        <w:rPr>
          <w:rFonts w:eastAsia="仿宋_GB2312"/>
          <w:sz w:val="32"/>
          <w:szCs w:val="32"/>
        </w:rPr>
        <w:t>年以上，</w:t>
      </w:r>
      <w:r w:rsidRPr="00B701D2">
        <w:rPr>
          <w:rFonts w:eastAsia="仿宋_GB2312"/>
          <w:sz w:val="32"/>
          <w:szCs w:val="32"/>
        </w:rPr>
        <w:t>3</w:t>
      </w:r>
      <w:r w:rsidRPr="00B701D2">
        <w:rPr>
          <w:rFonts w:eastAsia="仿宋_GB2312"/>
          <w:sz w:val="32"/>
          <w:szCs w:val="32"/>
        </w:rPr>
        <w:t>年以下。</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在治疗难治性肾</w:t>
      </w:r>
      <w:r w:rsidRPr="00B701D2">
        <w:rPr>
          <w:rFonts w:eastAsia="仿宋_GB2312" w:hint="eastAsia"/>
          <w:sz w:val="32"/>
          <w:szCs w:val="32"/>
        </w:rPr>
        <w:t>移植排斥反应</w:t>
      </w:r>
      <w:r w:rsidRPr="00B701D2">
        <w:rPr>
          <w:rFonts w:eastAsia="仿宋_GB2312"/>
          <w:sz w:val="32"/>
          <w:szCs w:val="32"/>
        </w:rPr>
        <w:t>的对照试验中，平均随访为期</w:t>
      </w:r>
      <w:r w:rsidRPr="00B701D2">
        <w:rPr>
          <w:rFonts w:eastAsia="仿宋_GB2312"/>
          <w:sz w:val="32"/>
          <w:szCs w:val="32"/>
        </w:rPr>
        <w:t>42</w:t>
      </w:r>
      <w:r w:rsidRPr="00B701D2">
        <w:rPr>
          <w:rFonts w:eastAsia="仿宋_GB2312"/>
          <w:sz w:val="32"/>
          <w:szCs w:val="32"/>
        </w:rPr>
        <w:t>个月的淋巴瘤发生率为</w:t>
      </w:r>
      <w:r w:rsidRPr="00B701D2">
        <w:rPr>
          <w:rFonts w:eastAsia="仿宋_GB2312"/>
          <w:sz w:val="32"/>
          <w:szCs w:val="32"/>
        </w:rPr>
        <w:t>3.9%</w:t>
      </w:r>
      <w:r w:rsidRPr="00B701D2">
        <w:rPr>
          <w:rFonts w:eastAsia="仿宋_GB2312"/>
          <w:sz w:val="32"/>
          <w:szCs w:val="32"/>
        </w:rPr>
        <w:t>。</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hint="eastAsia"/>
          <w:bCs/>
          <w:sz w:val="32"/>
          <w:szCs w:val="32"/>
        </w:rPr>
        <w:lastRenderedPageBreak/>
        <w:t>机会</w:t>
      </w:r>
      <w:r w:rsidRPr="00B701D2">
        <w:rPr>
          <w:rFonts w:eastAsia="楷体_GB2312"/>
          <w:bCs/>
          <w:sz w:val="32"/>
          <w:szCs w:val="32"/>
        </w:rPr>
        <w:t>感染</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所有移植受者的</w:t>
      </w:r>
      <w:r w:rsidRPr="00B701D2">
        <w:rPr>
          <w:rFonts w:eastAsia="仿宋_GB2312" w:hint="eastAsia"/>
          <w:sz w:val="32"/>
          <w:szCs w:val="32"/>
        </w:rPr>
        <w:t>机会</w:t>
      </w:r>
      <w:r w:rsidRPr="00B701D2">
        <w:rPr>
          <w:rFonts w:eastAsia="仿宋_GB2312"/>
          <w:sz w:val="32"/>
          <w:szCs w:val="32"/>
        </w:rPr>
        <w:t>感染的风险都增高，风险随免疫抑制负荷增加而加大（见</w:t>
      </w:r>
      <w:r w:rsidRPr="00B701D2">
        <w:rPr>
          <w:rFonts w:eastAsia="仿宋_GB2312" w:hint="eastAsia"/>
          <w:sz w:val="32"/>
          <w:szCs w:val="32"/>
        </w:rPr>
        <w:t>【注意事项】</w:t>
      </w:r>
      <w:r w:rsidRPr="00B701D2">
        <w:rPr>
          <w:rFonts w:eastAsia="仿宋_GB2312"/>
          <w:sz w:val="32"/>
          <w:szCs w:val="32"/>
        </w:rPr>
        <w:t>）。在接受本品（</w:t>
      </w:r>
      <w:r w:rsidRPr="00B701D2">
        <w:rPr>
          <w:rFonts w:eastAsia="仿宋_GB2312"/>
          <w:sz w:val="32"/>
          <w:szCs w:val="32"/>
        </w:rPr>
        <w:t>2g</w:t>
      </w:r>
      <w:r w:rsidRPr="00B701D2">
        <w:rPr>
          <w:rFonts w:eastAsia="仿宋_GB2312"/>
          <w:sz w:val="32"/>
          <w:szCs w:val="32"/>
        </w:rPr>
        <w:t>或者</w:t>
      </w:r>
      <w:r w:rsidRPr="00B701D2">
        <w:rPr>
          <w:rFonts w:eastAsia="仿宋_GB2312"/>
          <w:sz w:val="32"/>
          <w:szCs w:val="32"/>
        </w:rPr>
        <w:t>3g</w:t>
      </w:r>
      <w:r w:rsidRPr="00B701D2">
        <w:rPr>
          <w:rFonts w:eastAsia="仿宋_GB2312"/>
          <w:sz w:val="32"/>
          <w:szCs w:val="32"/>
        </w:rPr>
        <w:t>每日）</w:t>
      </w:r>
      <w:r w:rsidRPr="00B701D2">
        <w:rPr>
          <w:rFonts w:eastAsia="仿宋_GB2312" w:hint="eastAsia"/>
          <w:sz w:val="32"/>
          <w:szCs w:val="32"/>
        </w:rPr>
        <w:t>联合</w:t>
      </w:r>
      <w:r w:rsidRPr="00B701D2">
        <w:rPr>
          <w:rFonts w:eastAsia="仿宋_GB2312"/>
          <w:sz w:val="32"/>
          <w:szCs w:val="32"/>
        </w:rPr>
        <w:t>其它免疫抑制剂治疗且至少随访</w:t>
      </w:r>
      <w:r w:rsidRPr="00B701D2">
        <w:rPr>
          <w:rFonts w:eastAsia="仿宋_GB2312"/>
          <w:sz w:val="32"/>
          <w:szCs w:val="32"/>
        </w:rPr>
        <w:t>1</w:t>
      </w:r>
      <w:r w:rsidRPr="00B701D2">
        <w:rPr>
          <w:rFonts w:eastAsia="仿宋_GB2312"/>
          <w:sz w:val="32"/>
          <w:szCs w:val="32"/>
        </w:rPr>
        <w:t>年的肾脏（</w:t>
      </w:r>
      <w:r w:rsidRPr="00B701D2">
        <w:rPr>
          <w:rFonts w:eastAsia="仿宋_GB2312"/>
          <w:sz w:val="32"/>
          <w:szCs w:val="32"/>
        </w:rPr>
        <w:t>2g</w:t>
      </w:r>
      <w:r w:rsidRPr="00B701D2">
        <w:rPr>
          <w:rFonts w:eastAsia="仿宋_GB2312"/>
          <w:sz w:val="32"/>
          <w:szCs w:val="32"/>
        </w:rPr>
        <w:t>数据），心脏和肝脏移植受者当中进行了对照临床试验，最常见的</w:t>
      </w:r>
      <w:r w:rsidRPr="00B701D2">
        <w:rPr>
          <w:rFonts w:eastAsia="仿宋_GB2312" w:hint="eastAsia"/>
          <w:sz w:val="32"/>
          <w:szCs w:val="32"/>
        </w:rPr>
        <w:t>机会</w:t>
      </w:r>
      <w:r w:rsidRPr="00B701D2">
        <w:rPr>
          <w:rFonts w:eastAsia="仿宋_GB2312"/>
          <w:sz w:val="32"/>
          <w:szCs w:val="32"/>
        </w:rPr>
        <w:t>感染是皮肤黏膜念珠菌病，巨细胞病毒血症</w:t>
      </w:r>
      <w:r w:rsidRPr="00B701D2">
        <w:rPr>
          <w:rFonts w:eastAsia="仿宋_GB2312"/>
          <w:sz w:val="32"/>
          <w:szCs w:val="32"/>
        </w:rPr>
        <w:t>/</w:t>
      </w:r>
      <w:r w:rsidRPr="00B701D2">
        <w:rPr>
          <w:rFonts w:eastAsia="仿宋_GB2312"/>
          <w:sz w:val="32"/>
          <w:szCs w:val="32"/>
        </w:rPr>
        <w:t>综合征和单纯</w:t>
      </w:r>
      <w:r w:rsidRPr="00B701D2">
        <w:rPr>
          <w:rFonts w:eastAsia="仿宋_GB2312" w:hint="eastAsia"/>
          <w:sz w:val="32"/>
          <w:szCs w:val="32"/>
        </w:rPr>
        <w:t>疱疹</w:t>
      </w:r>
      <w:r w:rsidRPr="00B701D2">
        <w:rPr>
          <w:rFonts w:eastAsia="仿宋_GB2312"/>
          <w:sz w:val="32"/>
          <w:szCs w:val="32"/>
        </w:rPr>
        <w:t>病毒感染。其中巨细胞病毒血症</w:t>
      </w:r>
      <w:r w:rsidRPr="00B701D2">
        <w:rPr>
          <w:rFonts w:eastAsia="仿宋_GB2312"/>
          <w:sz w:val="32"/>
          <w:szCs w:val="32"/>
        </w:rPr>
        <w:t>/</w:t>
      </w:r>
      <w:r w:rsidRPr="00B701D2">
        <w:rPr>
          <w:rFonts w:eastAsia="仿宋_GB2312"/>
          <w:sz w:val="32"/>
          <w:szCs w:val="32"/>
        </w:rPr>
        <w:t>综合征的患者比例占</w:t>
      </w:r>
      <w:r w:rsidRPr="00B701D2">
        <w:rPr>
          <w:rFonts w:eastAsia="仿宋_GB2312"/>
          <w:sz w:val="32"/>
          <w:szCs w:val="32"/>
        </w:rPr>
        <w:t>13.5%</w:t>
      </w:r>
      <w:r w:rsidRPr="00B701D2">
        <w:rPr>
          <w:rFonts w:eastAsia="仿宋_GB2312"/>
          <w:sz w:val="32"/>
          <w:szCs w:val="32"/>
        </w:rPr>
        <w:t>。</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bCs/>
          <w:sz w:val="32"/>
          <w:szCs w:val="32"/>
        </w:rPr>
        <w:t>儿童（年龄在</w:t>
      </w:r>
      <w:r w:rsidRPr="00B701D2">
        <w:rPr>
          <w:rFonts w:eastAsia="楷体_GB2312"/>
          <w:bCs/>
          <w:sz w:val="32"/>
          <w:szCs w:val="32"/>
        </w:rPr>
        <w:t>3</w:t>
      </w:r>
      <w:r w:rsidRPr="00B701D2">
        <w:rPr>
          <w:rFonts w:eastAsia="楷体_GB2312"/>
          <w:bCs/>
          <w:sz w:val="32"/>
          <w:szCs w:val="32"/>
        </w:rPr>
        <w:t>个月到</w:t>
      </w:r>
      <w:r w:rsidRPr="00B701D2">
        <w:rPr>
          <w:rFonts w:eastAsia="楷体_GB2312"/>
          <w:bCs/>
          <w:sz w:val="32"/>
          <w:szCs w:val="32"/>
        </w:rPr>
        <w:t>18</w:t>
      </w:r>
      <w:r w:rsidRPr="00B701D2">
        <w:rPr>
          <w:rFonts w:eastAsia="楷体_GB2312"/>
          <w:bCs/>
          <w:sz w:val="32"/>
          <w:szCs w:val="32"/>
        </w:rPr>
        <w:t>周岁之间）</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在对</w:t>
      </w:r>
      <w:r w:rsidRPr="00B701D2">
        <w:rPr>
          <w:rFonts w:eastAsia="仿宋_GB2312"/>
          <w:sz w:val="32"/>
          <w:szCs w:val="32"/>
        </w:rPr>
        <w:t>100</w:t>
      </w:r>
      <w:r w:rsidRPr="00B701D2">
        <w:rPr>
          <w:rFonts w:eastAsia="仿宋_GB2312"/>
          <w:sz w:val="32"/>
          <w:szCs w:val="32"/>
        </w:rPr>
        <w:t>名</w:t>
      </w:r>
      <w:r w:rsidRPr="00B701D2">
        <w:rPr>
          <w:rFonts w:eastAsia="仿宋_GB2312"/>
          <w:sz w:val="32"/>
          <w:szCs w:val="32"/>
        </w:rPr>
        <w:t>3</w:t>
      </w:r>
      <w:r w:rsidRPr="00B701D2">
        <w:rPr>
          <w:rFonts w:eastAsia="仿宋_GB2312"/>
          <w:sz w:val="32"/>
          <w:szCs w:val="32"/>
        </w:rPr>
        <w:t>个月到</w:t>
      </w:r>
      <w:r w:rsidRPr="00B701D2">
        <w:rPr>
          <w:rFonts w:eastAsia="仿宋_GB2312"/>
          <w:sz w:val="32"/>
          <w:szCs w:val="32"/>
        </w:rPr>
        <w:t>18</w:t>
      </w:r>
      <w:r w:rsidRPr="00B701D2">
        <w:rPr>
          <w:rFonts w:eastAsia="仿宋_GB2312"/>
          <w:sz w:val="32"/>
          <w:szCs w:val="32"/>
        </w:rPr>
        <w:t>周岁之间的儿科患者进行的临床研究中，给予</w:t>
      </w:r>
      <w:r w:rsidRPr="00B701D2">
        <w:rPr>
          <w:rFonts w:eastAsia="仿宋_GB2312"/>
          <w:sz w:val="32"/>
          <w:szCs w:val="32"/>
        </w:rPr>
        <w:t>600mg/m</w:t>
      </w:r>
      <w:r w:rsidRPr="00B701D2">
        <w:rPr>
          <w:rFonts w:eastAsia="仿宋_GB2312"/>
          <w:sz w:val="32"/>
          <w:szCs w:val="32"/>
          <w:vertAlign w:val="superscript"/>
        </w:rPr>
        <w:t>2</w:t>
      </w:r>
      <w:r w:rsidRPr="00B701D2">
        <w:rPr>
          <w:rFonts w:eastAsia="仿宋_GB2312"/>
          <w:sz w:val="32"/>
          <w:szCs w:val="32"/>
        </w:rPr>
        <w:t>本品每日两次口服以后，出现的不良药物反应的类型和频率，在整体上与给予</w:t>
      </w:r>
      <w:r w:rsidRPr="00B701D2">
        <w:rPr>
          <w:rFonts w:eastAsia="仿宋_GB2312"/>
          <w:sz w:val="32"/>
          <w:szCs w:val="32"/>
        </w:rPr>
        <w:t>1</w:t>
      </w:r>
      <w:r w:rsidRPr="00B701D2">
        <w:rPr>
          <w:rFonts w:eastAsia="仿宋_GB2312"/>
          <w:sz w:val="32"/>
          <w:szCs w:val="32"/>
        </w:rPr>
        <w:t>克本品每日两次口服的成人患者中观察到的不良反应都是相似的。但是，以下在儿童当中出现的频率</w:t>
      </w:r>
      <w:r w:rsidRPr="00B701D2">
        <w:rPr>
          <w:rFonts w:eastAsia="仿宋_GB2312" w:hint="eastAsia"/>
          <w:sz w:val="32"/>
          <w:szCs w:val="32"/>
        </w:rPr>
        <w:t>≥</w:t>
      </w:r>
      <w:r w:rsidRPr="00B701D2">
        <w:rPr>
          <w:rFonts w:eastAsia="仿宋_GB2312"/>
          <w:sz w:val="32"/>
          <w:szCs w:val="32"/>
        </w:rPr>
        <w:t>10%</w:t>
      </w:r>
      <w:r w:rsidRPr="00B701D2">
        <w:rPr>
          <w:rFonts w:eastAsia="仿宋_GB2312"/>
          <w:sz w:val="32"/>
          <w:szCs w:val="32"/>
        </w:rPr>
        <w:t>的治疗相关不良事件，与成人中出现的治疗相关不良事件的频率相比，在儿科人群特别是在</w:t>
      </w:r>
      <w:r w:rsidRPr="00B701D2">
        <w:rPr>
          <w:rFonts w:eastAsia="仿宋_GB2312"/>
          <w:sz w:val="32"/>
          <w:szCs w:val="32"/>
        </w:rPr>
        <w:t>6</w:t>
      </w:r>
      <w:r w:rsidRPr="00B701D2">
        <w:rPr>
          <w:rFonts w:eastAsia="仿宋_GB2312"/>
          <w:sz w:val="32"/>
          <w:szCs w:val="32"/>
        </w:rPr>
        <w:t>周岁以下的儿童当中更加常见，包括：腹泻，白细胞减少症，败血症，感染以及贫血。</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bCs/>
          <w:sz w:val="32"/>
          <w:szCs w:val="32"/>
        </w:rPr>
        <w:t>老年患者（</w:t>
      </w:r>
      <w:r w:rsidRPr="00B701D2">
        <w:rPr>
          <w:rFonts w:eastAsia="楷体_GB2312" w:hint="eastAsia"/>
          <w:bCs/>
          <w:sz w:val="32"/>
          <w:szCs w:val="32"/>
        </w:rPr>
        <w:t>≥</w:t>
      </w:r>
      <w:r w:rsidRPr="00B701D2">
        <w:rPr>
          <w:rFonts w:eastAsia="楷体_GB2312"/>
          <w:bCs/>
          <w:sz w:val="32"/>
          <w:szCs w:val="32"/>
        </w:rPr>
        <w:t>65</w:t>
      </w:r>
      <w:r w:rsidRPr="00B701D2">
        <w:rPr>
          <w:rFonts w:eastAsia="楷体_GB2312"/>
          <w:bCs/>
          <w:sz w:val="32"/>
          <w:szCs w:val="32"/>
        </w:rPr>
        <w:t>周岁）</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同年轻人相比，老年人，尤其是接受本品作为联合免疫抑制方案一部分的患者，某些感染（包括巨细胞病毒组织侵</w:t>
      </w:r>
      <w:r w:rsidRPr="00B701D2">
        <w:rPr>
          <w:rFonts w:eastAsia="仿宋_GB2312" w:hint="eastAsia"/>
          <w:sz w:val="32"/>
          <w:szCs w:val="32"/>
        </w:rPr>
        <w:t>袭</w:t>
      </w:r>
      <w:r w:rsidRPr="00B701D2">
        <w:rPr>
          <w:rFonts w:eastAsia="仿宋_GB2312"/>
          <w:sz w:val="32"/>
          <w:szCs w:val="32"/>
        </w:rPr>
        <w:t>病）、可能的胃肠出血和肺水肿的危险增加（见【</w:t>
      </w:r>
      <w:r w:rsidRPr="00B701D2">
        <w:rPr>
          <w:rFonts w:eastAsia="仿宋_GB2312" w:hint="eastAsia"/>
          <w:sz w:val="32"/>
          <w:szCs w:val="32"/>
        </w:rPr>
        <w:t>注意事项</w:t>
      </w:r>
      <w:r w:rsidRPr="00B701D2">
        <w:rPr>
          <w:rFonts w:eastAsia="仿宋_GB2312"/>
          <w:sz w:val="32"/>
          <w:szCs w:val="32"/>
        </w:rPr>
        <w:t>】）。</w:t>
      </w:r>
    </w:p>
    <w:p w:rsidR="00D61E64" w:rsidRPr="00B701D2" w:rsidRDefault="00D61E64" w:rsidP="00D61E64">
      <w:pPr>
        <w:spacing w:line="360" w:lineRule="auto"/>
        <w:ind w:firstLineChars="200" w:firstLine="640"/>
        <w:rPr>
          <w:rFonts w:eastAsia="楷体_GB2312"/>
          <w:bCs/>
          <w:sz w:val="32"/>
          <w:szCs w:val="32"/>
        </w:rPr>
      </w:pPr>
      <w:r w:rsidRPr="00B701D2">
        <w:rPr>
          <w:rFonts w:eastAsia="楷体_GB2312"/>
          <w:bCs/>
          <w:sz w:val="32"/>
          <w:szCs w:val="32"/>
        </w:rPr>
        <w:t>下列</w:t>
      </w:r>
      <w:r w:rsidRPr="00B701D2">
        <w:rPr>
          <w:rFonts w:eastAsia="楷体_GB2312" w:hint="eastAsia"/>
          <w:bCs/>
          <w:sz w:val="32"/>
          <w:szCs w:val="32"/>
        </w:rPr>
        <w:t>为</w:t>
      </w:r>
      <w:r w:rsidRPr="00B701D2">
        <w:rPr>
          <w:rFonts w:eastAsia="楷体_GB2312"/>
          <w:bCs/>
          <w:sz w:val="32"/>
          <w:szCs w:val="32"/>
        </w:rPr>
        <w:t>本品口服给药的安全性特征</w:t>
      </w:r>
    </w:p>
    <w:p w:rsidR="00D61E64" w:rsidRPr="00B701D2" w:rsidRDefault="00D61E64" w:rsidP="00D61E64">
      <w:pPr>
        <w:spacing w:line="360" w:lineRule="auto"/>
        <w:ind w:firstLineChars="200" w:firstLine="640"/>
        <w:rPr>
          <w:rFonts w:eastAsia="仿宋_GB2312"/>
          <w:spacing w:val="-6"/>
          <w:sz w:val="32"/>
          <w:szCs w:val="32"/>
        </w:rPr>
      </w:pPr>
      <w:r w:rsidRPr="00B701D2">
        <w:rPr>
          <w:rFonts w:eastAsia="仿宋_GB2312"/>
          <w:sz w:val="32"/>
          <w:szCs w:val="32"/>
        </w:rPr>
        <w:t>在预防肾脏移植排斥的对照试验（</w:t>
      </w:r>
      <w:r w:rsidRPr="00B701D2">
        <w:rPr>
          <w:rFonts w:eastAsia="仿宋_GB2312"/>
          <w:sz w:val="32"/>
          <w:szCs w:val="32"/>
        </w:rPr>
        <w:t>3</w:t>
      </w:r>
      <w:r w:rsidRPr="00B701D2">
        <w:rPr>
          <w:rFonts w:eastAsia="仿宋_GB2312"/>
          <w:sz w:val="32"/>
          <w:szCs w:val="32"/>
        </w:rPr>
        <w:t>项试验，</w:t>
      </w:r>
      <w:r w:rsidRPr="00B701D2">
        <w:rPr>
          <w:rFonts w:eastAsia="仿宋_GB2312"/>
          <w:sz w:val="32"/>
          <w:szCs w:val="32"/>
        </w:rPr>
        <w:t>2g</w:t>
      </w:r>
      <w:r w:rsidRPr="00B701D2">
        <w:rPr>
          <w:rFonts w:eastAsia="仿宋_GB2312"/>
          <w:sz w:val="32"/>
          <w:szCs w:val="32"/>
        </w:rPr>
        <w:t>和</w:t>
      </w:r>
      <w:r w:rsidRPr="00B701D2">
        <w:rPr>
          <w:rFonts w:eastAsia="仿宋_GB2312"/>
          <w:sz w:val="32"/>
          <w:szCs w:val="32"/>
        </w:rPr>
        <w:t>3g</w:t>
      </w:r>
      <w:r w:rsidRPr="00B701D2">
        <w:rPr>
          <w:rFonts w:eastAsia="仿宋_GB2312"/>
          <w:sz w:val="32"/>
          <w:szCs w:val="32"/>
        </w:rPr>
        <w:t>的数</w:t>
      </w:r>
      <w:r w:rsidRPr="00B701D2">
        <w:rPr>
          <w:rFonts w:eastAsia="仿宋_GB2312"/>
          <w:sz w:val="32"/>
          <w:szCs w:val="32"/>
        </w:rPr>
        <w:lastRenderedPageBreak/>
        <w:t>据），一</w:t>
      </w:r>
      <w:r w:rsidRPr="00B701D2">
        <w:rPr>
          <w:rFonts w:eastAsia="仿宋_GB2312"/>
          <w:spacing w:val="-6"/>
          <w:sz w:val="32"/>
          <w:szCs w:val="32"/>
        </w:rPr>
        <w:t>项对照心脏移植试验，和一项对照肝脏移植试验中，用</w:t>
      </w:r>
      <w:r w:rsidRPr="00B701D2">
        <w:rPr>
          <w:rFonts w:eastAsia="仿宋_GB2312" w:hint="eastAsia"/>
          <w:spacing w:val="-6"/>
          <w:sz w:val="32"/>
          <w:szCs w:val="32"/>
        </w:rPr>
        <w:t>本品</w:t>
      </w:r>
      <w:r w:rsidRPr="00B701D2">
        <w:rPr>
          <w:rFonts w:eastAsia="仿宋_GB2312"/>
          <w:spacing w:val="-6"/>
          <w:sz w:val="32"/>
          <w:szCs w:val="32"/>
        </w:rPr>
        <w:t>治疗的患者</w:t>
      </w:r>
      <w:r w:rsidRPr="00B701D2">
        <w:rPr>
          <w:rFonts w:eastAsia="仿宋_GB2312" w:hint="eastAsia"/>
          <w:spacing w:val="-6"/>
          <w:sz w:val="32"/>
          <w:szCs w:val="32"/>
        </w:rPr>
        <w:t>≥</w:t>
      </w:r>
      <w:r w:rsidRPr="00B701D2">
        <w:rPr>
          <w:rFonts w:eastAsia="仿宋_GB2312"/>
          <w:spacing w:val="-6"/>
          <w:sz w:val="32"/>
          <w:szCs w:val="32"/>
        </w:rPr>
        <w:t>10%</w:t>
      </w:r>
      <w:r w:rsidRPr="00B701D2">
        <w:rPr>
          <w:rFonts w:eastAsia="仿宋_GB2312"/>
          <w:spacing w:val="-6"/>
          <w:sz w:val="32"/>
          <w:szCs w:val="32"/>
        </w:rPr>
        <w:t>和</w:t>
      </w:r>
      <w:r w:rsidRPr="00B701D2">
        <w:rPr>
          <w:rFonts w:eastAsia="仿宋_GB2312"/>
          <w:spacing w:val="-6"/>
          <w:sz w:val="32"/>
          <w:szCs w:val="32"/>
        </w:rPr>
        <w:t>3%</w:t>
      </w:r>
      <w:r w:rsidRPr="00B701D2">
        <w:rPr>
          <w:rFonts w:eastAsia="仿宋_GB2312" w:hint="eastAsia"/>
          <w:spacing w:val="-6"/>
          <w:sz w:val="32"/>
          <w:szCs w:val="32"/>
        </w:rPr>
        <w:t>—</w:t>
      </w:r>
      <w:r w:rsidRPr="00B701D2">
        <w:rPr>
          <w:rFonts w:eastAsia="仿宋_GB2312"/>
          <w:spacing w:val="-6"/>
          <w:sz w:val="32"/>
          <w:szCs w:val="32"/>
        </w:rPr>
        <w:t>&lt;10%</w:t>
      </w:r>
      <w:r w:rsidRPr="00B701D2">
        <w:rPr>
          <w:rFonts w:eastAsia="仿宋_GB2312"/>
          <w:spacing w:val="-6"/>
          <w:sz w:val="32"/>
          <w:szCs w:val="32"/>
        </w:rPr>
        <w:t>报告的不良事件如下表所示。</w:t>
      </w:r>
    </w:p>
    <w:p w:rsidR="00D61E64" w:rsidRPr="00B701D2" w:rsidRDefault="00D61E64" w:rsidP="00D61E64">
      <w:pPr>
        <w:spacing w:line="360" w:lineRule="auto"/>
        <w:ind w:firstLineChars="200" w:firstLine="640"/>
        <w:rPr>
          <w:rFonts w:ascii="楷体_GB2312" w:eastAsia="楷体_GB2312" w:hAnsi="黑体"/>
          <w:bCs/>
          <w:sz w:val="32"/>
          <w:szCs w:val="32"/>
        </w:rPr>
      </w:pPr>
      <w:r w:rsidRPr="00B701D2">
        <w:rPr>
          <w:rFonts w:ascii="楷体_GB2312" w:eastAsia="楷体_GB2312" w:hAnsi="黑体"/>
          <w:bCs/>
          <w:sz w:val="32"/>
          <w:szCs w:val="32"/>
        </w:rPr>
        <w:t>下列为本品静脉内注射给药的安全性特征</w:t>
      </w:r>
    </w:p>
    <w:p w:rsidR="00D61E64" w:rsidRPr="00B701D2" w:rsidRDefault="00D61E64" w:rsidP="00D61E64">
      <w:pPr>
        <w:spacing w:line="360" w:lineRule="auto"/>
        <w:ind w:firstLineChars="200" w:firstLine="640"/>
        <w:rPr>
          <w:rFonts w:eastAsia="仿宋_GB2312"/>
          <w:sz w:val="32"/>
          <w:szCs w:val="32"/>
        </w:rPr>
      </w:pPr>
      <w:r w:rsidRPr="00B701D2">
        <w:rPr>
          <w:rFonts w:eastAsia="仿宋_GB2312"/>
          <w:sz w:val="32"/>
          <w:szCs w:val="32"/>
        </w:rPr>
        <w:t>研究显示与本品静脉注射给药有关的不良反应特征与在口服给药中观察到的特征相似。由于</w:t>
      </w:r>
      <w:r w:rsidRPr="00B701D2">
        <w:rPr>
          <w:rFonts w:eastAsia="仿宋_GB2312" w:hint="eastAsia"/>
          <w:sz w:val="32"/>
          <w:szCs w:val="32"/>
        </w:rPr>
        <w:t>外周</w:t>
      </w:r>
      <w:r w:rsidRPr="00B701D2">
        <w:rPr>
          <w:rFonts w:eastAsia="仿宋_GB2312"/>
          <w:sz w:val="32"/>
          <w:szCs w:val="32"/>
        </w:rPr>
        <w:t>静脉输液引起的不良事件主要是静脉炎和血栓形成，用静注本品治疗的患者观察到两者的发生率都是</w:t>
      </w:r>
      <w:r w:rsidRPr="00B701D2">
        <w:rPr>
          <w:rFonts w:eastAsia="仿宋_GB2312"/>
          <w:sz w:val="32"/>
          <w:szCs w:val="32"/>
        </w:rPr>
        <w:t>4%</w:t>
      </w:r>
      <w:r w:rsidRPr="00B701D2">
        <w:rPr>
          <w:rFonts w:eastAsia="仿宋_GB2312"/>
          <w:sz w:val="32"/>
          <w:szCs w:val="32"/>
        </w:rPr>
        <w:t>。</w:t>
      </w:r>
    </w:p>
    <w:p w:rsidR="00D61E64" w:rsidRPr="00B701D2" w:rsidRDefault="00D61E64" w:rsidP="00D61E64">
      <w:pPr>
        <w:spacing w:line="360" w:lineRule="auto"/>
        <w:ind w:firstLineChars="200" w:firstLine="640"/>
        <w:rPr>
          <w:rFonts w:eastAsia="楷体_GB2312"/>
          <w:bCs/>
          <w:sz w:val="32"/>
          <w:szCs w:val="32"/>
        </w:rPr>
      </w:pPr>
      <w:r w:rsidRPr="00B701D2">
        <w:rPr>
          <w:rFonts w:eastAsia="楷体_GB2312"/>
          <w:bCs/>
          <w:sz w:val="32"/>
          <w:szCs w:val="32"/>
        </w:rPr>
        <w:t>成人本品治疗临床试验中与环孢霉素和皮质类固醇激素并用时</w:t>
      </w:r>
      <w:r w:rsidRPr="00B701D2">
        <w:rPr>
          <w:rFonts w:eastAsia="楷体_GB2312" w:hint="eastAsia"/>
          <w:bCs/>
          <w:sz w:val="32"/>
          <w:szCs w:val="32"/>
        </w:rPr>
        <w:t>≥</w:t>
      </w:r>
      <w:r w:rsidRPr="00B701D2">
        <w:rPr>
          <w:rFonts w:eastAsia="楷体_GB2312"/>
          <w:bCs/>
          <w:sz w:val="32"/>
          <w:szCs w:val="32"/>
        </w:rPr>
        <w:t>10%</w:t>
      </w:r>
      <w:r w:rsidRPr="00B701D2">
        <w:rPr>
          <w:rFonts w:eastAsia="楷体_GB2312"/>
          <w:bCs/>
          <w:sz w:val="32"/>
          <w:szCs w:val="32"/>
        </w:rPr>
        <w:t>和</w:t>
      </w:r>
      <w:r w:rsidRPr="00B701D2">
        <w:rPr>
          <w:rFonts w:eastAsia="楷体_GB2312"/>
          <w:bCs/>
          <w:sz w:val="32"/>
          <w:szCs w:val="32"/>
        </w:rPr>
        <w:t>3%</w:t>
      </w:r>
      <w:r>
        <w:rPr>
          <w:rFonts w:eastAsia="楷体_GB2312" w:hint="eastAsia"/>
          <w:bCs/>
          <w:sz w:val="32"/>
          <w:szCs w:val="32"/>
        </w:rPr>
        <w:t>—</w:t>
      </w:r>
      <w:r w:rsidRPr="00B701D2">
        <w:rPr>
          <w:rFonts w:eastAsia="楷体_GB2312"/>
          <w:bCs/>
          <w:sz w:val="32"/>
          <w:szCs w:val="32"/>
        </w:rPr>
        <w:t>&lt;10%</w:t>
      </w:r>
      <w:r w:rsidRPr="00B701D2">
        <w:rPr>
          <w:rFonts w:eastAsia="楷体_GB2312"/>
          <w:bCs/>
          <w:sz w:val="32"/>
          <w:szCs w:val="32"/>
        </w:rPr>
        <w:t>患者报告的不良事件</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170"/>
        <w:gridCol w:w="2166"/>
        <w:gridCol w:w="2166"/>
        <w:gridCol w:w="2166"/>
      </w:tblGrid>
      <w:tr w:rsidR="00D61E64" w:rsidRPr="00FF3457" w:rsidTr="005C09A7">
        <w:trPr>
          <w:trHeight w:val="862"/>
          <w:tblHeader/>
          <w:jc w:val="center"/>
        </w:trPr>
        <w:tc>
          <w:tcPr>
            <w:tcW w:w="2358" w:type="dxa"/>
            <w:gridSpan w:val="2"/>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身体系统</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肾脏移植的患者报告的不良事件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n=991</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心脏移植的患者报告的不良事件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n=289</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c>
          <w:tcPr>
            <w:tcW w:w="2166" w:type="dxa"/>
            <w:vAlign w:val="center"/>
          </w:tcPr>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肝脏移植的患者报告的不良事件</w:t>
            </w:r>
          </w:p>
          <w:p w:rsidR="00D61E64" w:rsidRPr="00B701D2" w:rsidRDefault="00D61E64" w:rsidP="005C09A7">
            <w:pPr>
              <w:pStyle w:val="TextTi9"/>
              <w:spacing w:line="360" w:lineRule="auto"/>
              <w:jc w:val="center"/>
              <w:rPr>
                <w:rFonts w:eastAsia="仿宋_GB2312"/>
                <w:b/>
                <w:bCs/>
                <w:kern w:val="2"/>
                <w:sz w:val="22"/>
                <w:szCs w:val="32"/>
                <w:lang w:eastAsia="zh-CN"/>
              </w:rPr>
            </w:pPr>
            <w:r w:rsidRPr="00B701D2">
              <w:rPr>
                <w:rFonts w:eastAsia="仿宋_GB2312" w:hint="eastAsia"/>
                <w:b/>
                <w:bCs/>
                <w:kern w:val="2"/>
                <w:sz w:val="22"/>
                <w:szCs w:val="32"/>
                <w:lang w:eastAsia="zh-CN"/>
              </w:rPr>
              <w:t>（</w:t>
            </w:r>
            <w:r w:rsidRPr="00B701D2">
              <w:rPr>
                <w:rFonts w:eastAsia="仿宋_GB2312"/>
                <w:b/>
                <w:bCs/>
                <w:kern w:val="2"/>
                <w:sz w:val="22"/>
                <w:szCs w:val="32"/>
                <w:lang w:eastAsia="zh-CN"/>
              </w:rPr>
              <w:t>n=277</w:t>
            </w:r>
            <w:r w:rsidRPr="00B701D2">
              <w:rPr>
                <w:rFonts w:eastAsia="仿宋_GB2312" w:hint="eastAsia"/>
                <w:b/>
                <w:bCs/>
                <w:kern w:val="2"/>
                <w:sz w:val="22"/>
                <w:szCs w:val="32"/>
                <w:lang w:eastAsia="zh-CN"/>
              </w:rPr>
              <w:t>）</w:t>
            </w:r>
            <w:r w:rsidRPr="00B701D2">
              <w:rPr>
                <w:rFonts w:eastAsia="仿宋_GB2312"/>
                <w:b/>
                <w:bCs/>
                <w:kern w:val="2"/>
                <w:sz w:val="22"/>
                <w:szCs w:val="32"/>
                <w:lang w:eastAsia="zh-CN"/>
              </w:rPr>
              <w:t>***</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sz w:val="22"/>
                <w:szCs w:val="32"/>
              </w:rPr>
              <w:t>全身情况</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sz w:val="22"/>
                <w:szCs w:val="32"/>
                <w:lang w:eastAsia="zh-CN"/>
              </w:rPr>
              <w:t>乏力、发热、头痛，感染、疼痛（包括腹部、背部和胸部）、水肿、败血症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乏力、发热、寒战、头痛、感染、疼痛（包括腹部、背部和胸部）、水肿、败血症</w:t>
            </w:r>
          </w:p>
        </w:tc>
        <w:tc>
          <w:tcPr>
            <w:tcW w:w="2166" w:type="dxa"/>
          </w:tcPr>
          <w:p w:rsidR="00D61E64" w:rsidRPr="00B701D2" w:rsidRDefault="00D61E64" w:rsidP="005C09A7">
            <w:pPr>
              <w:pStyle w:val="TextTi9"/>
              <w:spacing w:line="440" w:lineRule="exact"/>
              <w:rPr>
                <w:rFonts w:eastAsia="仿宋_GB2312"/>
                <w:kern w:val="2"/>
                <w:sz w:val="22"/>
                <w:szCs w:val="32"/>
                <w:lang w:eastAsia="zh-CN"/>
              </w:rPr>
            </w:pPr>
            <w:r w:rsidRPr="00B701D2">
              <w:rPr>
                <w:rFonts w:eastAsia="仿宋_GB2312" w:hint="eastAsia"/>
                <w:kern w:val="2"/>
                <w:sz w:val="22"/>
                <w:szCs w:val="32"/>
                <w:lang w:eastAsia="zh-CN"/>
              </w:rPr>
              <w:t>腹水、乏力、寒战、腹部增大、发热、头痛、疝气、感染、疼痛（包括腹部、背部和胸部）、水肿、腹膜炎、败血症</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囊肿（包括淋巴囊肿和鞘膜积液）、腹部增大、面部水肿、流感样综合征、出血、疝气、不适、盆腔疼痛</w:t>
            </w:r>
          </w:p>
        </w:tc>
        <w:tc>
          <w:tcPr>
            <w:tcW w:w="2166" w:type="dxa"/>
          </w:tcPr>
          <w:p w:rsidR="00D61E64" w:rsidRPr="00B701D2" w:rsidRDefault="00D61E64" w:rsidP="005C09A7">
            <w:pPr>
              <w:pStyle w:val="TextTi9"/>
              <w:spacing w:line="440" w:lineRule="exact"/>
              <w:rPr>
                <w:rFonts w:eastAsia="仿宋_GB2312"/>
                <w:kern w:val="2"/>
                <w:sz w:val="22"/>
                <w:szCs w:val="32"/>
                <w:lang w:eastAsia="zh-CN"/>
              </w:rPr>
            </w:pPr>
            <w:r w:rsidRPr="00B701D2">
              <w:rPr>
                <w:rFonts w:eastAsia="仿宋_GB2312" w:hint="eastAsia"/>
                <w:kern w:val="2"/>
                <w:sz w:val="22"/>
                <w:szCs w:val="32"/>
                <w:lang w:eastAsia="zh-CN"/>
              </w:rPr>
              <w:t>蜂窝织炎、囊肿（包括淋巴囊肿和鞘膜积液）、腹部增大、面部水肿、流感样综合征、出血、疝气、不适、颈部疼痛、皮肤苍白、盆腔疼痛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脓肿、蜂窝织炎、囊肿（包括淋巴囊肿和鞘膜积液）、流感样综合征、出血、不适、颈部疼痛</w:t>
            </w:r>
          </w:p>
        </w:tc>
      </w:tr>
      <w:tr w:rsidR="00D61E64" w:rsidRPr="00FF3457" w:rsidTr="005C09A7">
        <w:trPr>
          <w:cantSplit/>
          <w:trHeight w:val="2549"/>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sz w:val="22"/>
                <w:szCs w:val="32"/>
              </w:rPr>
              <w:lastRenderedPageBreak/>
              <w:t>血液和淋巴系统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贫血（包括低色素性贫血）、白细胞增多症、白细胞减少症、血小板减少症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贫血（包括低色素性贫血）、瘀癍、白细胞增多症、白细胞减少症、血小板减少症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贫血（包括低色素性贫血）、白细胞增多症、白细胞减少症、血小板减少症</w:t>
            </w:r>
          </w:p>
        </w:tc>
      </w:tr>
      <w:tr w:rsidR="00D61E64" w:rsidRPr="00FF3457" w:rsidTr="005C09A7">
        <w:trPr>
          <w:cantSplit/>
          <w:trHeight w:val="1833"/>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瘀癍、红细胞增多症</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瘀点、凝血酶原时间延长、凝血活酶时间延长</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瘀癍、全血细胞减少、凝血酶原时间延长</w:t>
            </w:r>
          </w:p>
        </w:tc>
      </w:tr>
      <w:tr w:rsidR="00D61E64" w:rsidRPr="00FF3457" w:rsidTr="005C09A7">
        <w:trPr>
          <w:cantSplit/>
          <w:trHeight w:val="2115"/>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泌尿系统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sz w:val="22"/>
                <w:szCs w:val="32"/>
                <w:lang w:eastAsia="zh-CN"/>
              </w:rPr>
              <w:t>血尿、肾小管坏死、泌尿道感染</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肾功能异常（肾功能下降、血清肌酐升高）、少尿、泌尿道感染</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肾功能异常（肾功能下降、血清肌酐升高）、少尿、泌尿道感染</w:t>
            </w:r>
          </w:p>
        </w:tc>
      </w:tr>
      <w:tr w:rsidR="00D61E64" w:rsidRPr="00FF3457" w:rsidTr="005C09A7">
        <w:trPr>
          <w:cantSplit/>
          <w:trHeight w:val="2400"/>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蛋白尿、排尿困难、肾盂积水、阳痿、肾盂肾炎、尿频</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排尿困难、血尿、阳痿、夜尿增多、肾功能衰竭、尿频、尿失禁、尿潴留</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急性肾功能衰竭、排尿困难、血尿肾功能衰竭、鞘膜积液、尿频、尿失禁</w:t>
            </w:r>
          </w:p>
        </w:tc>
      </w:tr>
      <w:tr w:rsidR="00D61E64" w:rsidRPr="00FF3457" w:rsidTr="005C09A7">
        <w:trPr>
          <w:cantSplit/>
          <w:trHeight w:val="1835"/>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心血管</w:t>
            </w:r>
          </w:p>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系统</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高血压</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w:t>
            </w:r>
            <w:r w:rsidRPr="00B701D2">
              <w:rPr>
                <w:rFonts w:eastAsia="仿宋_GB2312" w:hint="eastAsia"/>
                <w:spacing w:val="-4"/>
                <w:kern w:val="2"/>
                <w:sz w:val="22"/>
                <w:szCs w:val="32"/>
                <w:lang w:eastAsia="zh-CN"/>
              </w:rPr>
              <w:t>律失常、心动过缓、心力衰竭、高血压、低血压、心包积液</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高血压、低血压、</w:t>
            </w:r>
          </w:p>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心动过速</w:t>
            </w:r>
          </w:p>
        </w:tc>
      </w:tr>
      <w:tr w:rsidR="00D61E64" w:rsidRPr="00FF3457" w:rsidTr="005C09A7">
        <w:trPr>
          <w:cantSplit/>
          <w:trHeight w:val="4676"/>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心绞痛、房颤、低血压、体位性性低血压、心动过速、血栓形成、血管扩张</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心绞痛、心律失常</w:t>
            </w:r>
            <w:r w:rsidRPr="00B701D2">
              <w:rPr>
                <w:rFonts w:eastAsia="仿宋_GB2312" w:hint="eastAsia"/>
                <w:spacing w:val="-6"/>
                <w:kern w:val="2"/>
                <w:sz w:val="22"/>
                <w:szCs w:val="32"/>
                <w:lang w:eastAsia="zh-CN"/>
              </w:rPr>
              <w:t>（包括室上性和室性期前收缩、房扑、室上性和室性心动过速）、房颤、心脏停搏、充血性心力衰竭、体位性低血压、肺动脉高压、晕厥、血管痉挛、静脉压升高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动脉血栓、房颤、心律失常、心动过缓、血管扩张、晕厥</w:t>
            </w:r>
          </w:p>
        </w:tc>
      </w:tr>
      <w:tr w:rsidR="00D61E64" w:rsidRPr="00FF3457" w:rsidTr="005C09A7">
        <w:trPr>
          <w:cantSplit/>
          <w:trHeight w:val="6499"/>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代谢</w:t>
            </w:r>
            <w:r w:rsidRPr="00B701D2">
              <w:rPr>
                <w:rFonts w:eastAsia="仿宋_GB2312"/>
                <w:kern w:val="2"/>
                <w:sz w:val="22"/>
                <w:szCs w:val="32"/>
                <w:lang w:eastAsia="zh-CN"/>
              </w:rPr>
              <w:t>/</w:t>
            </w:r>
            <w:r w:rsidRPr="00B701D2">
              <w:rPr>
                <w:rFonts w:eastAsia="仿宋_GB2312" w:hint="eastAsia"/>
                <w:kern w:val="2"/>
                <w:sz w:val="22"/>
                <w:szCs w:val="32"/>
                <w:lang w:eastAsia="zh-CN"/>
              </w:rPr>
              <w:t>营养</w:t>
            </w:r>
          </w:p>
        </w:tc>
        <w:tc>
          <w:tcPr>
            <w:tcW w:w="1170"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高胆固醇血症、高血糖症、高钾血症、低钾血症、低磷酸血症</w:t>
            </w:r>
          </w:p>
        </w:tc>
        <w:tc>
          <w:tcPr>
            <w:tcW w:w="2166" w:type="dxa"/>
          </w:tcPr>
          <w:p w:rsidR="00D61E64" w:rsidRPr="00B701D2" w:rsidRDefault="00D61E64" w:rsidP="005C09A7">
            <w:pPr>
              <w:pStyle w:val="TextTi9"/>
              <w:spacing w:line="420" w:lineRule="exact"/>
              <w:rPr>
                <w:rFonts w:eastAsia="仿宋_GB2312"/>
                <w:kern w:val="2"/>
                <w:sz w:val="22"/>
                <w:szCs w:val="32"/>
                <w:lang w:eastAsia="zh-CN"/>
              </w:rPr>
            </w:pPr>
            <w:r w:rsidRPr="00B701D2">
              <w:rPr>
                <w:rFonts w:eastAsia="仿宋_GB2312" w:hint="eastAsia"/>
                <w:kern w:val="2"/>
                <w:sz w:val="22"/>
                <w:szCs w:val="32"/>
                <w:lang w:eastAsia="zh-CN"/>
              </w:rPr>
              <w:t>酸中毒（代谢性或者呼吸性）、胆红素血症、尿素氮（</w:t>
            </w:r>
            <w:r w:rsidRPr="00B701D2">
              <w:rPr>
                <w:rFonts w:eastAsia="仿宋_GB2312"/>
                <w:kern w:val="2"/>
                <w:sz w:val="22"/>
                <w:szCs w:val="32"/>
                <w:lang w:eastAsia="zh-CN"/>
              </w:rPr>
              <w:t>BUN</w:t>
            </w:r>
            <w:r w:rsidRPr="00B701D2">
              <w:rPr>
                <w:rFonts w:eastAsia="仿宋_GB2312" w:hint="eastAsia"/>
                <w:kern w:val="2"/>
                <w:sz w:val="22"/>
                <w:szCs w:val="32"/>
                <w:lang w:eastAsia="zh-CN"/>
              </w:rPr>
              <w:t>）升高、肌酐升高、酶水平升高（乳酸脱氢酶、天门冬氨酸氨基转移酶（</w:t>
            </w:r>
            <w:r w:rsidRPr="00B701D2">
              <w:rPr>
                <w:rFonts w:eastAsia="仿宋_GB2312"/>
                <w:kern w:val="2"/>
                <w:sz w:val="22"/>
                <w:szCs w:val="32"/>
                <w:lang w:eastAsia="zh-CN"/>
              </w:rPr>
              <w:t>AST</w:t>
            </w:r>
            <w:r w:rsidRPr="00B701D2">
              <w:rPr>
                <w:rFonts w:eastAsia="仿宋_GB2312" w:hint="eastAsia"/>
                <w:kern w:val="2"/>
                <w:sz w:val="22"/>
                <w:szCs w:val="32"/>
                <w:lang w:eastAsia="zh-CN"/>
              </w:rPr>
              <w:t>）和丙氨酸氨基转移酶（</w:t>
            </w:r>
            <w:r w:rsidRPr="00B701D2">
              <w:rPr>
                <w:rFonts w:eastAsia="仿宋_GB2312"/>
                <w:kern w:val="2"/>
                <w:sz w:val="22"/>
                <w:szCs w:val="32"/>
                <w:lang w:eastAsia="zh-CN"/>
              </w:rPr>
              <w:t>ALT</w:t>
            </w:r>
            <w:r w:rsidRPr="00B701D2">
              <w:rPr>
                <w:rFonts w:eastAsia="仿宋_GB2312" w:hint="eastAsia"/>
                <w:kern w:val="2"/>
                <w:sz w:val="22"/>
                <w:szCs w:val="32"/>
                <w:lang w:eastAsia="zh-CN"/>
              </w:rPr>
              <w:t>））、高胆固醇血症、高血糖症、高钾血症、高脂血症、高尿酸血症、高血容量、低钾血症、低镁血症、低钠血症、体重增加</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胆红素血症、</w:t>
            </w:r>
            <w:r w:rsidRPr="00B701D2">
              <w:rPr>
                <w:rFonts w:eastAsia="仿宋_GB2312"/>
                <w:kern w:val="2"/>
                <w:sz w:val="22"/>
                <w:szCs w:val="32"/>
                <w:lang w:eastAsia="zh-CN"/>
              </w:rPr>
              <w:t>BUN</w:t>
            </w:r>
            <w:r w:rsidRPr="00B701D2">
              <w:rPr>
                <w:rFonts w:eastAsia="仿宋_GB2312" w:hint="eastAsia"/>
                <w:kern w:val="2"/>
                <w:sz w:val="22"/>
                <w:szCs w:val="32"/>
                <w:lang w:eastAsia="zh-CN"/>
              </w:rPr>
              <w:t>升高、肌酐升高、愈合功能异常、高血糖症、高钾血症、低钙血症、低钾血症、低血糖症、低镁血症、低磷酸血症、低蛋白血症</w:t>
            </w:r>
          </w:p>
        </w:tc>
      </w:tr>
      <w:tr w:rsidR="00D61E64" w:rsidRPr="00FF3457" w:rsidTr="005C09A7">
        <w:trPr>
          <w:cantSplit/>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exact"/>
              <w:rPr>
                <w:rFonts w:eastAsia="仿宋_GB2312"/>
                <w:kern w:val="2"/>
                <w:sz w:val="22"/>
                <w:szCs w:val="32"/>
                <w:lang w:eastAsia="zh-CN"/>
              </w:rPr>
            </w:pPr>
            <w:r w:rsidRPr="00B701D2">
              <w:rPr>
                <w:rFonts w:eastAsia="仿宋_GB2312" w:hint="eastAsia"/>
                <w:kern w:val="2"/>
                <w:sz w:val="22"/>
                <w:szCs w:val="32"/>
                <w:lang w:eastAsia="zh-CN"/>
              </w:rPr>
              <w:t>酸中毒（代谢性或者呼吸性）、碱性磷酸酶升高、脱水、酶水平升高（</w:t>
            </w:r>
            <w:r w:rsidRPr="00B701D2">
              <w:rPr>
                <w:rFonts w:eastAsia="仿宋_GB2312"/>
                <w:kern w:val="2"/>
                <w:sz w:val="22"/>
                <w:szCs w:val="32"/>
                <w:lang w:eastAsia="zh-CN"/>
              </w:rPr>
              <w:t>γ-</w:t>
            </w:r>
            <w:r w:rsidRPr="00B701D2">
              <w:rPr>
                <w:rFonts w:eastAsia="仿宋_GB2312" w:hint="eastAsia"/>
                <w:kern w:val="2"/>
                <w:sz w:val="22"/>
                <w:szCs w:val="32"/>
                <w:lang w:eastAsia="zh-CN"/>
              </w:rPr>
              <w:t>谷氨酰转肽酶、乳酸脱氢酶、</w:t>
            </w:r>
            <w:r w:rsidRPr="00B701D2">
              <w:rPr>
                <w:rFonts w:eastAsia="仿宋_GB2312"/>
                <w:kern w:val="2"/>
                <w:sz w:val="22"/>
                <w:szCs w:val="32"/>
                <w:lang w:eastAsia="zh-CN"/>
              </w:rPr>
              <w:t>AST</w:t>
            </w:r>
            <w:r w:rsidRPr="00B701D2">
              <w:rPr>
                <w:rFonts w:eastAsia="仿宋_GB2312" w:hint="eastAsia"/>
                <w:kern w:val="2"/>
                <w:sz w:val="22"/>
                <w:szCs w:val="32"/>
                <w:lang w:eastAsia="zh-CN"/>
              </w:rPr>
              <w:t>和</w:t>
            </w:r>
            <w:r w:rsidRPr="00B701D2">
              <w:rPr>
                <w:rFonts w:eastAsia="仿宋_GB2312"/>
                <w:kern w:val="2"/>
                <w:sz w:val="22"/>
                <w:szCs w:val="32"/>
                <w:lang w:eastAsia="zh-CN"/>
              </w:rPr>
              <w:t>ALT</w:t>
            </w:r>
            <w:r w:rsidRPr="00B701D2">
              <w:rPr>
                <w:rFonts w:eastAsia="仿宋_GB2312" w:hint="eastAsia"/>
                <w:kern w:val="2"/>
                <w:sz w:val="22"/>
                <w:szCs w:val="32"/>
                <w:lang w:eastAsia="zh-CN"/>
              </w:rPr>
              <w:t>）、肌酐升高、高钙血症、高脂血症、高血容量、低钙血症、低血糖症、低蛋白血症、高尿酸血症、体重增加</w:t>
            </w:r>
          </w:p>
        </w:tc>
        <w:tc>
          <w:tcPr>
            <w:tcW w:w="2166" w:type="dxa"/>
          </w:tcPr>
          <w:p w:rsidR="00D61E64" w:rsidRPr="00B701D2" w:rsidRDefault="00D61E64" w:rsidP="005C09A7">
            <w:pPr>
              <w:pStyle w:val="TextTi9"/>
              <w:spacing w:line="420" w:lineRule="exact"/>
              <w:rPr>
                <w:rFonts w:eastAsia="仿宋_GB2312"/>
                <w:kern w:val="2"/>
                <w:sz w:val="22"/>
                <w:szCs w:val="32"/>
                <w:lang w:eastAsia="zh-CN"/>
              </w:rPr>
            </w:pPr>
            <w:r w:rsidRPr="00B701D2">
              <w:rPr>
                <w:rFonts w:eastAsia="仿宋_GB2312" w:hint="eastAsia"/>
                <w:kern w:val="2"/>
                <w:sz w:val="22"/>
                <w:szCs w:val="32"/>
                <w:lang w:eastAsia="zh-CN"/>
              </w:rPr>
              <w:t>愈合功能异常、碱性磷酸酶升高、碱中毒、脱水、痛风、低钙血症、低氯血症、低血糖症、低蛋白血症、低磷酸血症、低血容量、缺氧、呼吸性酸中毒、口渴、体重下降</w:t>
            </w:r>
          </w:p>
        </w:tc>
        <w:tc>
          <w:tcPr>
            <w:tcW w:w="2166" w:type="dxa"/>
          </w:tcPr>
          <w:p w:rsidR="00D61E64" w:rsidRPr="00B701D2" w:rsidRDefault="00D61E64" w:rsidP="005C09A7">
            <w:pPr>
              <w:pStyle w:val="TextTi9"/>
              <w:spacing w:line="400" w:lineRule="exact"/>
              <w:rPr>
                <w:rFonts w:eastAsia="仿宋_GB2312"/>
                <w:kern w:val="2"/>
                <w:sz w:val="22"/>
                <w:szCs w:val="32"/>
                <w:lang w:eastAsia="zh-CN"/>
              </w:rPr>
            </w:pPr>
            <w:r w:rsidRPr="00B701D2">
              <w:rPr>
                <w:rFonts w:eastAsia="仿宋_GB2312" w:hint="eastAsia"/>
                <w:kern w:val="2"/>
                <w:sz w:val="22"/>
                <w:szCs w:val="32"/>
                <w:lang w:eastAsia="zh-CN"/>
              </w:rPr>
              <w:t>酸中毒（代谢性或者呼吸性）、碱性磷酸酶升高、脱水、酶水平升高（</w:t>
            </w:r>
            <w:r w:rsidRPr="00B701D2">
              <w:rPr>
                <w:rFonts w:eastAsia="仿宋_GB2312"/>
                <w:kern w:val="2"/>
                <w:sz w:val="22"/>
                <w:szCs w:val="32"/>
                <w:lang w:eastAsia="zh-CN"/>
              </w:rPr>
              <w:t>AST</w:t>
            </w:r>
            <w:r w:rsidRPr="00B701D2">
              <w:rPr>
                <w:rFonts w:eastAsia="仿宋_GB2312" w:hint="eastAsia"/>
                <w:kern w:val="2"/>
                <w:sz w:val="22"/>
                <w:szCs w:val="32"/>
                <w:lang w:eastAsia="zh-CN"/>
              </w:rPr>
              <w:t>和</w:t>
            </w:r>
            <w:r w:rsidRPr="00B701D2">
              <w:rPr>
                <w:rFonts w:eastAsia="仿宋_GB2312"/>
                <w:kern w:val="2"/>
                <w:sz w:val="22"/>
                <w:szCs w:val="32"/>
                <w:lang w:eastAsia="zh-CN"/>
              </w:rPr>
              <w:t>ALT</w:t>
            </w:r>
            <w:r w:rsidRPr="00B701D2">
              <w:rPr>
                <w:rFonts w:eastAsia="仿宋_GB2312" w:hint="eastAsia"/>
                <w:kern w:val="2"/>
                <w:sz w:val="22"/>
                <w:szCs w:val="32"/>
                <w:lang w:eastAsia="zh-CN"/>
              </w:rPr>
              <w:t>）、高胆固醇血症、高脂血症、高磷酸血症、高血容量、低钠血症、缺氧、低血容量、体重增加、体重下降</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胃肠道</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便秘、腹泻、消化不良、恶心和呕吐、口腔念珠菌病</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便秘、腹泻、消化不</w:t>
            </w:r>
            <w:r w:rsidRPr="00B701D2">
              <w:rPr>
                <w:rFonts w:eastAsia="仿宋_GB2312" w:hint="eastAsia"/>
                <w:spacing w:val="-4"/>
                <w:kern w:val="2"/>
                <w:sz w:val="22"/>
                <w:szCs w:val="32"/>
                <w:lang w:eastAsia="zh-CN"/>
              </w:rPr>
              <w:t>良、胃肠胀气、恶心和呕吐、口腔念珠菌病</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肝功能检查值升高</w:t>
            </w:r>
            <w:r w:rsidRPr="00B701D2">
              <w:rPr>
                <w:rFonts w:eastAsia="仿宋_GB2312" w:hint="eastAsia"/>
                <w:spacing w:val="-8"/>
                <w:kern w:val="2"/>
                <w:sz w:val="22"/>
                <w:szCs w:val="32"/>
                <w:lang w:eastAsia="zh-CN"/>
              </w:rPr>
              <w:t>（包括</w:t>
            </w:r>
            <w:r w:rsidRPr="00B701D2">
              <w:rPr>
                <w:rFonts w:eastAsia="仿宋_GB2312"/>
                <w:spacing w:val="-8"/>
                <w:kern w:val="2"/>
                <w:sz w:val="22"/>
                <w:szCs w:val="32"/>
                <w:lang w:eastAsia="zh-CN"/>
              </w:rPr>
              <w:t>AST</w:t>
            </w:r>
            <w:r w:rsidRPr="00B701D2">
              <w:rPr>
                <w:rFonts w:eastAsia="仿宋_GB2312" w:hint="eastAsia"/>
                <w:spacing w:val="-8"/>
                <w:kern w:val="2"/>
                <w:sz w:val="22"/>
                <w:szCs w:val="32"/>
                <w:lang w:eastAsia="zh-CN"/>
              </w:rPr>
              <w:t>、</w:t>
            </w:r>
            <w:r w:rsidRPr="00B701D2">
              <w:rPr>
                <w:rFonts w:eastAsia="仿宋_GB2312"/>
                <w:spacing w:val="-8"/>
                <w:kern w:val="2"/>
                <w:sz w:val="22"/>
                <w:szCs w:val="32"/>
                <w:lang w:eastAsia="zh-CN"/>
              </w:rPr>
              <w:t>ALT</w:t>
            </w:r>
            <w:r w:rsidRPr="00B701D2">
              <w:rPr>
                <w:rFonts w:eastAsia="仿宋_GB2312" w:hint="eastAsia"/>
                <w:spacing w:val="-8"/>
                <w:kern w:val="2"/>
                <w:sz w:val="22"/>
                <w:szCs w:val="32"/>
                <w:lang w:eastAsia="zh-CN"/>
              </w:rPr>
              <w:t>）、厌食、胆管炎、胆汁淤积性黄疸、便秘、腹泻、消化不良、胃肠胀气、肝炎、恶心和呕吐、口腔念珠菌病</w:t>
            </w:r>
          </w:p>
        </w:tc>
      </w:tr>
      <w:tr w:rsidR="00D61E64" w:rsidRPr="00FF3457" w:rsidTr="005C09A7">
        <w:trPr>
          <w:cantSplit/>
          <w:trHeight w:val="3967"/>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肝功能检查值升高（包括</w:t>
            </w:r>
            <w:r w:rsidRPr="00B701D2">
              <w:rPr>
                <w:rFonts w:eastAsia="仿宋_GB2312"/>
                <w:kern w:val="2"/>
                <w:sz w:val="22"/>
                <w:szCs w:val="32"/>
                <w:lang w:eastAsia="zh-CN"/>
              </w:rPr>
              <w:t>AST</w:t>
            </w:r>
            <w:r w:rsidRPr="00B701D2">
              <w:rPr>
                <w:rFonts w:eastAsia="仿宋_GB2312" w:hint="eastAsia"/>
                <w:kern w:val="2"/>
                <w:sz w:val="22"/>
                <w:szCs w:val="32"/>
                <w:lang w:eastAsia="zh-CN"/>
              </w:rPr>
              <w:t>、</w:t>
            </w:r>
            <w:r w:rsidRPr="00B701D2">
              <w:rPr>
                <w:rFonts w:eastAsia="仿宋_GB2312"/>
                <w:kern w:val="2"/>
                <w:sz w:val="22"/>
                <w:szCs w:val="32"/>
                <w:lang w:eastAsia="zh-CN"/>
              </w:rPr>
              <w:t>ALT</w:t>
            </w:r>
            <w:r w:rsidRPr="00B701D2">
              <w:rPr>
                <w:rFonts w:eastAsia="仿宋_GB2312" w:hint="eastAsia"/>
                <w:kern w:val="2"/>
                <w:sz w:val="22"/>
                <w:szCs w:val="32"/>
                <w:lang w:eastAsia="zh-CN"/>
              </w:rPr>
              <w:t>）、厌食、胃肠胀气、胃肠炎、胃肠道出血、胃肠道念珠菌病、牙龈炎、牙龈增生、肝炎、肠梗阻、食管炎、口腔粘膜炎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肝功能检查值升高（包括</w:t>
            </w:r>
            <w:r w:rsidRPr="00B701D2">
              <w:rPr>
                <w:rFonts w:eastAsia="仿宋_GB2312"/>
                <w:kern w:val="2"/>
                <w:sz w:val="22"/>
                <w:szCs w:val="32"/>
                <w:lang w:eastAsia="zh-CN"/>
              </w:rPr>
              <w:t>AST</w:t>
            </w:r>
            <w:r w:rsidRPr="00B701D2">
              <w:rPr>
                <w:rFonts w:eastAsia="仿宋_GB2312" w:hint="eastAsia"/>
                <w:kern w:val="2"/>
                <w:sz w:val="22"/>
                <w:szCs w:val="32"/>
                <w:lang w:eastAsia="zh-CN"/>
              </w:rPr>
              <w:t>、</w:t>
            </w:r>
            <w:r w:rsidRPr="00B701D2">
              <w:rPr>
                <w:rFonts w:eastAsia="仿宋_GB2312"/>
                <w:kern w:val="2"/>
                <w:sz w:val="22"/>
                <w:szCs w:val="32"/>
                <w:lang w:eastAsia="zh-CN"/>
              </w:rPr>
              <w:t>ALT</w:t>
            </w:r>
            <w:r w:rsidRPr="00B701D2">
              <w:rPr>
                <w:rFonts w:eastAsia="仿宋_GB2312" w:hint="eastAsia"/>
                <w:kern w:val="2"/>
                <w:sz w:val="22"/>
                <w:szCs w:val="32"/>
                <w:lang w:eastAsia="zh-CN"/>
              </w:rPr>
              <w:t>）、厌食、吞咽困难、胃肠炎、牙龈炎、牙龈增生、黄疸、黑便、食管炎、口腔粘膜炎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吞咽困难、胃炎、胃肠道出血、肠梗阻、黄疸、黑便、口腔溃疡、食管炎、直肠疾病、胃溃疡</w:t>
            </w:r>
          </w:p>
          <w:p w:rsidR="00D61E64" w:rsidRPr="00B701D2" w:rsidRDefault="00D61E64" w:rsidP="005C09A7">
            <w:pPr>
              <w:pStyle w:val="TextTi9"/>
              <w:spacing w:line="360" w:lineRule="auto"/>
              <w:rPr>
                <w:rFonts w:eastAsia="仿宋_GB2312"/>
                <w:kern w:val="2"/>
                <w:sz w:val="22"/>
                <w:szCs w:val="32"/>
                <w:lang w:eastAsia="zh-CN"/>
              </w:rPr>
            </w:pPr>
          </w:p>
        </w:tc>
      </w:tr>
      <w:tr w:rsidR="00D61E64" w:rsidRPr="00FF3457" w:rsidTr="005C09A7">
        <w:trPr>
          <w:cantSplit/>
          <w:trHeight w:val="2109"/>
          <w:jc w:val="center"/>
        </w:trPr>
        <w:tc>
          <w:tcPr>
            <w:tcW w:w="1188"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hint="eastAsia"/>
                <w:spacing w:val="-12"/>
                <w:kern w:val="2"/>
                <w:sz w:val="22"/>
                <w:szCs w:val="32"/>
                <w:lang w:eastAsia="zh-CN"/>
              </w:rPr>
              <w:lastRenderedPageBreak/>
              <w:t>呼吸</w:t>
            </w: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咳嗽加重、呼吸困难、咽炎、肺炎、支气管炎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哮喘、咳嗽加重、呼吸困难、咽炎、胸腔积液、肺炎、鼻炎、鼻窦炎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肺不张、咳嗽加重、呼吸困难、咽炎、胸腔积液、肺炎、鼻窦炎</w:t>
            </w:r>
          </w:p>
        </w:tc>
      </w:tr>
      <w:tr w:rsidR="00D61E64" w:rsidRPr="00FF3457" w:rsidTr="005C09A7">
        <w:trPr>
          <w:cantSplit/>
          <w:trHeight w:val="2504"/>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哮喘、胸腔积液、肺水肿、鼻炎、鼻窦炎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呼吸暂停、肺不张、支气管炎、鼻衄、咯血、呃逆、肿瘤、气胸、肺水肿、痰液增多、声音改变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哮喘、支气管炎、鼻衄、过度通气、气胸、肺水肿、呼吸道念珠菌病、鼻炎</w:t>
            </w:r>
          </w:p>
        </w:tc>
      </w:tr>
      <w:tr w:rsidR="00D61E64" w:rsidRPr="00FF3457" w:rsidTr="005C09A7">
        <w:trPr>
          <w:cantSplit/>
          <w:trHeight w:val="1264"/>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皮肤及其附件</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痤疮、单纯疱疹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痤疮、单纯疱疹、带状疱疹、皮疹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瘙痒、皮疹、出汗</w:t>
            </w:r>
          </w:p>
        </w:tc>
      </w:tr>
      <w:tr w:rsidR="00D61E64" w:rsidRPr="00FF3457" w:rsidTr="005C09A7">
        <w:trPr>
          <w:cantSplit/>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脱发、良性皮肤肿瘤、真菌性皮炎、带状疱疹、多毛症、瘙痒、皮肤癌、皮肤肥厚（包括光化性角化病）、出汗、皮肤溃疡、皮疹</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良性皮肤肿瘤、真菌性皮炎、出血、瘙痒、皮肤癌、皮肤肥厚、皮肤溃疡、出汗</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痤疮、真菌性皮炎、出血、单纯疱疹、带状疱疹、多毛症、良性皮肤肿瘤、皮肤溃疡、水疱大疱性皮疹</w:t>
            </w:r>
          </w:p>
          <w:p w:rsidR="00D61E64" w:rsidRPr="00B701D2" w:rsidRDefault="00D61E64" w:rsidP="005C09A7">
            <w:pPr>
              <w:pStyle w:val="TextTi9"/>
              <w:spacing w:line="360" w:lineRule="auto"/>
              <w:rPr>
                <w:rFonts w:eastAsia="仿宋_GB2312"/>
                <w:kern w:val="2"/>
                <w:sz w:val="22"/>
                <w:szCs w:val="32"/>
                <w:lang w:eastAsia="zh-CN"/>
              </w:rPr>
            </w:pP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神经</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头晕、失眠、震颤</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兴奋、焦虑、意识模糊、抑郁、头晕、肌张力增高、失眠、感觉异常、嗜睡、震颤</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焦虑、意识模糊、抑郁、头晕、失眠、感觉异常、震颤</w:t>
            </w:r>
          </w:p>
        </w:tc>
      </w:tr>
      <w:tr w:rsidR="00D61E64" w:rsidRPr="00FF3457" w:rsidTr="005C09A7">
        <w:trPr>
          <w:cantSplit/>
          <w:trHeight w:val="2550"/>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焦虑、抑郁、肌张力增高、感觉异常、嗜睡</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惊厥、情绪不稳、幻觉、神经病、思维异常、眩晕</w:t>
            </w:r>
          </w:p>
          <w:p w:rsidR="00D61E64" w:rsidRPr="00B701D2" w:rsidRDefault="00D61E64" w:rsidP="005C09A7">
            <w:pPr>
              <w:pStyle w:val="TextTi9"/>
              <w:spacing w:line="360" w:lineRule="auto"/>
              <w:rPr>
                <w:rFonts w:eastAsia="仿宋_GB2312"/>
                <w:kern w:val="2"/>
                <w:sz w:val="22"/>
                <w:szCs w:val="32"/>
                <w:lang w:eastAsia="zh-CN"/>
              </w:rPr>
            </w:pP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兴奋、惊厥、谵妄、口干、肌张力增高、感觉减退、神经病、精神病、嗜睡、思维异常</w:t>
            </w:r>
          </w:p>
        </w:tc>
      </w:tr>
      <w:tr w:rsidR="00D61E64" w:rsidRPr="00FF3457" w:rsidTr="005C09A7">
        <w:trPr>
          <w:cantSplit/>
          <w:trHeight w:val="1124"/>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肌肉骨骼</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腿部肌肉抽搐、肌痛、肌肉无力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sz w:val="22"/>
                <w:szCs w:val="32"/>
                <w:lang w:eastAsia="zh-CN"/>
              </w:rPr>
              <w:t>关节痛、腿部肌肉抽搐、肌痛、肌无力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关节痛</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关节痛、腿部肌肉抽搐、肌痛、肌无力、骨质疏松</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特殊感觉</w:t>
            </w: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弱视</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r>
      <w:tr w:rsidR="00D61E64" w:rsidRPr="00FF3457" w:rsidTr="005C09A7">
        <w:trPr>
          <w:cantSplit/>
          <w:jc w:val="center"/>
        </w:trPr>
        <w:tc>
          <w:tcPr>
            <w:tcW w:w="1188"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spacing w:val="-12"/>
                <w:kern w:val="2"/>
                <w:sz w:val="22"/>
                <w:szCs w:val="32"/>
                <w:lang w:eastAsia="zh-CN"/>
              </w:rPr>
            </w:pPr>
            <w:r w:rsidRPr="00B701D2">
              <w:rPr>
                <w:rFonts w:eastAsia="仿宋_GB2312"/>
                <w:spacing w:val="-12"/>
                <w:kern w:val="2"/>
                <w:sz w:val="22"/>
                <w:szCs w:val="32"/>
                <w:lang w:eastAsia="zh-CN"/>
              </w:rPr>
              <w:t>3%</w:t>
            </w:r>
            <w:r w:rsidRPr="00B701D2">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弱视、白内障、结膜炎</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视觉异常、结膜炎、耳聋、耳痛、眼出血、耳鸣</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视觉异常、弱视、结膜炎、耳聋</w:t>
            </w:r>
          </w:p>
        </w:tc>
      </w:tr>
      <w:tr w:rsidR="00D61E64" w:rsidRPr="00FF3457" w:rsidTr="005C09A7">
        <w:trPr>
          <w:cantSplit/>
          <w:jc w:val="center"/>
        </w:trPr>
        <w:tc>
          <w:tcPr>
            <w:tcW w:w="1188" w:type="dxa"/>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内分泌</w:t>
            </w:r>
          </w:p>
        </w:tc>
        <w:tc>
          <w:tcPr>
            <w:tcW w:w="1170" w:type="dxa"/>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hint="eastAsia"/>
                <w:kern w:val="2"/>
                <w:sz w:val="22"/>
                <w:szCs w:val="32"/>
                <w:lang w:eastAsia="zh-CN"/>
              </w:rPr>
              <w:t>≥</w:t>
            </w:r>
            <w:r w:rsidRPr="00B701D2">
              <w:rPr>
                <w:rFonts w:eastAsia="仿宋_GB2312"/>
                <w:kern w:val="2"/>
                <w:sz w:val="22"/>
                <w:szCs w:val="32"/>
                <w:lang w:eastAsia="zh-CN"/>
              </w:rPr>
              <w: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kern w:val="2"/>
                <w:sz w:val="22"/>
                <w:szCs w:val="32"/>
                <w:lang w:eastAsia="zh-CN"/>
              </w:rPr>
              <w:t>–</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宋体"/>
                <w:sz w:val="22"/>
                <w:szCs w:val="32"/>
              </w:rPr>
              <w:t>–</w:t>
            </w:r>
          </w:p>
        </w:tc>
      </w:tr>
      <w:tr w:rsidR="00D61E64" w:rsidRPr="00FF3457" w:rsidTr="005C09A7">
        <w:trPr>
          <w:cantSplit/>
          <w:trHeight w:val="1734"/>
          <w:jc w:val="center"/>
        </w:trPr>
        <w:tc>
          <w:tcPr>
            <w:tcW w:w="1188" w:type="dxa"/>
          </w:tcPr>
          <w:p w:rsidR="00D61E64" w:rsidRPr="00B701D2" w:rsidRDefault="00D61E64" w:rsidP="005C09A7">
            <w:pPr>
              <w:pStyle w:val="TextTi9"/>
              <w:spacing w:line="360" w:lineRule="auto"/>
              <w:rPr>
                <w:rFonts w:eastAsia="仿宋_GB2312"/>
                <w:kern w:val="2"/>
                <w:sz w:val="22"/>
                <w:szCs w:val="32"/>
                <w:lang w:eastAsia="zh-CN"/>
              </w:rPr>
            </w:pPr>
          </w:p>
        </w:tc>
        <w:tc>
          <w:tcPr>
            <w:tcW w:w="1170" w:type="dxa"/>
            <w:vAlign w:val="center"/>
          </w:tcPr>
          <w:p w:rsidR="00D61E64" w:rsidRPr="00B701D2" w:rsidRDefault="00D61E64" w:rsidP="005C09A7">
            <w:pPr>
              <w:pStyle w:val="TextTi9"/>
              <w:spacing w:line="360" w:lineRule="auto"/>
              <w:jc w:val="center"/>
              <w:rPr>
                <w:rFonts w:eastAsia="仿宋_GB2312"/>
                <w:kern w:val="2"/>
                <w:sz w:val="22"/>
                <w:szCs w:val="32"/>
                <w:lang w:eastAsia="zh-CN"/>
              </w:rPr>
            </w:pPr>
            <w:r w:rsidRPr="00B701D2">
              <w:rPr>
                <w:rFonts w:eastAsia="仿宋_GB2312"/>
                <w:spacing w:val="-12"/>
                <w:kern w:val="2"/>
                <w:sz w:val="22"/>
                <w:szCs w:val="32"/>
                <w:lang w:eastAsia="zh-CN"/>
              </w:rPr>
              <w:t>3%</w:t>
            </w:r>
            <w:r>
              <w:rPr>
                <w:rFonts w:eastAsia="仿宋_GB2312" w:hint="eastAsia"/>
                <w:spacing w:val="-12"/>
                <w:kern w:val="2"/>
                <w:sz w:val="22"/>
                <w:szCs w:val="32"/>
                <w:lang w:eastAsia="zh-CN"/>
              </w:rPr>
              <w:t>—</w:t>
            </w:r>
            <w:r w:rsidRPr="00B701D2">
              <w:rPr>
                <w:rFonts w:eastAsia="仿宋_GB2312"/>
                <w:spacing w:val="-12"/>
                <w:kern w:val="2"/>
                <w:sz w:val="22"/>
                <w:szCs w:val="32"/>
                <w:lang w:eastAsia="zh-CN"/>
              </w:rPr>
              <w:t>&lt;10%</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糖尿病、甲状旁腺功能紊乱（</w:t>
            </w:r>
            <w:r w:rsidRPr="00B701D2">
              <w:rPr>
                <w:rFonts w:eastAsia="仿宋_GB2312"/>
                <w:kern w:val="2"/>
                <w:sz w:val="22"/>
                <w:szCs w:val="32"/>
                <w:lang w:eastAsia="zh-CN"/>
              </w:rPr>
              <w:t>PTH</w:t>
            </w:r>
            <w:r w:rsidRPr="00B701D2">
              <w:rPr>
                <w:rFonts w:eastAsia="仿宋_GB2312" w:hint="eastAsia"/>
                <w:kern w:val="2"/>
                <w:sz w:val="22"/>
                <w:szCs w:val="32"/>
                <w:lang w:eastAsia="zh-CN"/>
              </w:rPr>
              <w:t>水平升高）</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糖尿病、库欣综合征、甲状腺功能减退</w:t>
            </w:r>
          </w:p>
        </w:tc>
        <w:tc>
          <w:tcPr>
            <w:tcW w:w="2166" w:type="dxa"/>
          </w:tcPr>
          <w:p w:rsidR="00D61E64" w:rsidRPr="00B701D2" w:rsidRDefault="00D61E64" w:rsidP="005C09A7">
            <w:pPr>
              <w:pStyle w:val="TextTi9"/>
              <w:spacing w:line="360" w:lineRule="auto"/>
              <w:rPr>
                <w:rFonts w:eastAsia="仿宋_GB2312"/>
                <w:kern w:val="2"/>
                <w:sz w:val="22"/>
                <w:szCs w:val="32"/>
                <w:lang w:eastAsia="zh-CN"/>
              </w:rPr>
            </w:pPr>
            <w:r w:rsidRPr="00B701D2">
              <w:rPr>
                <w:rFonts w:eastAsia="仿宋_GB2312" w:hint="eastAsia"/>
                <w:kern w:val="2"/>
                <w:sz w:val="22"/>
                <w:szCs w:val="32"/>
                <w:lang w:eastAsia="zh-CN"/>
              </w:rPr>
              <w:t>糖尿病</w:t>
            </w:r>
          </w:p>
        </w:tc>
      </w:tr>
    </w:tbl>
    <w:p w:rsidR="00D61E64" w:rsidRPr="00B701D2" w:rsidRDefault="00D61E64" w:rsidP="00D61E64">
      <w:pPr>
        <w:pStyle w:val="TextTi10"/>
        <w:spacing w:line="360" w:lineRule="auto"/>
        <w:ind w:firstLineChars="200" w:firstLine="640"/>
        <w:rPr>
          <w:rFonts w:eastAsia="仿宋_GB2312"/>
          <w:kern w:val="2"/>
          <w:sz w:val="32"/>
          <w:szCs w:val="32"/>
          <w:lang w:eastAsia="zh-CN"/>
        </w:rPr>
      </w:pPr>
      <w:r w:rsidRPr="00B701D2">
        <w:rPr>
          <w:rFonts w:eastAsia="仿宋_GB2312"/>
          <w:kern w:val="2"/>
          <w:sz w:val="32"/>
          <w:szCs w:val="32"/>
          <w:lang w:eastAsia="zh-CN"/>
        </w:rPr>
        <w:t>*</w:t>
      </w:r>
      <w:r w:rsidRPr="00B701D2">
        <w:rPr>
          <w:rFonts w:eastAsia="仿宋_GB2312"/>
          <w:kern w:val="2"/>
          <w:sz w:val="32"/>
          <w:szCs w:val="32"/>
          <w:lang w:eastAsia="zh-CN"/>
        </w:rPr>
        <w:t>（总计</w:t>
      </w:r>
      <w:r w:rsidRPr="00B701D2">
        <w:rPr>
          <w:rFonts w:eastAsia="仿宋_GB2312"/>
          <w:kern w:val="2"/>
          <w:sz w:val="32"/>
          <w:szCs w:val="32"/>
          <w:lang w:eastAsia="zh-CN"/>
        </w:rPr>
        <w:t xml:space="preserve"> n=1,483</w:t>
      </w:r>
      <w:r w:rsidRPr="00B701D2">
        <w:rPr>
          <w:rFonts w:eastAsia="仿宋_GB2312"/>
          <w:kern w:val="2"/>
          <w:sz w:val="32"/>
          <w:szCs w:val="32"/>
          <w:lang w:eastAsia="zh-CN"/>
        </w:rPr>
        <w:t>）</w:t>
      </w:r>
      <w:r w:rsidRPr="00B701D2">
        <w:rPr>
          <w:rFonts w:eastAsia="仿宋_GB2312"/>
          <w:kern w:val="2"/>
          <w:sz w:val="32"/>
          <w:szCs w:val="32"/>
          <w:lang w:eastAsia="zh-CN"/>
        </w:rPr>
        <w:t xml:space="preserve"> ** </w:t>
      </w:r>
      <w:r w:rsidRPr="00B701D2">
        <w:rPr>
          <w:rFonts w:eastAsia="仿宋_GB2312"/>
          <w:kern w:val="2"/>
          <w:sz w:val="32"/>
          <w:szCs w:val="32"/>
          <w:lang w:eastAsia="zh-CN"/>
        </w:rPr>
        <w:t>（总计</w:t>
      </w:r>
      <w:r w:rsidRPr="00B701D2">
        <w:rPr>
          <w:rFonts w:eastAsia="仿宋_GB2312"/>
          <w:kern w:val="2"/>
          <w:sz w:val="32"/>
          <w:szCs w:val="32"/>
          <w:lang w:eastAsia="zh-CN"/>
        </w:rPr>
        <w:t xml:space="preserve"> n=578</w:t>
      </w:r>
      <w:r w:rsidRPr="00B701D2">
        <w:rPr>
          <w:rFonts w:eastAsia="仿宋_GB2312"/>
          <w:kern w:val="2"/>
          <w:sz w:val="32"/>
          <w:szCs w:val="32"/>
          <w:lang w:eastAsia="zh-CN"/>
        </w:rPr>
        <w:t>）</w:t>
      </w:r>
      <w:r w:rsidRPr="00B701D2">
        <w:rPr>
          <w:rFonts w:eastAsia="仿宋_GB2312"/>
          <w:kern w:val="2"/>
          <w:sz w:val="32"/>
          <w:szCs w:val="32"/>
          <w:lang w:eastAsia="zh-CN"/>
        </w:rPr>
        <w:t xml:space="preserve"> *** </w:t>
      </w:r>
      <w:r w:rsidRPr="00B701D2">
        <w:rPr>
          <w:rFonts w:eastAsia="仿宋_GB2312"/>
          <w:kern w:val="2"/>
          <w:sz w:val="32"/>
          <w:szCs w:val="32"/>
          <w:lang w:eastAsia="zh-CN"/>
        </w:rPr>
        <w:t>（总计</w:t>
      </w:r>
      <w:r w:rsidRPr="00B701D2">
        <w:rPr>
          <w:rFonts w:eastAsia="仿宋_GB2312"/>
          <w:kern w:val="2"/>
          <w:sz w:val="32"/>
          <w:szCs w:val="32"/>
          <w:lang w:eastAsia="zh-CN"/>
        </w:rPr>
        <w:t xml:space="preserve"> n=564</w:t>
      </w:r>
      <w:r w:rsidRPr="00B701D2">
        <w:rPr>
          <w:rFonts w:eastAsia="仿宋_GB2312"/>
          <w:kern w:val="2"/>
          <w:sz w:val="32"/>
          <w:szCs w:val="32"/>
          <w:lang w:eastAsia="zh-CN"/>
        </w:rPr>
        <w:t>）</w:t>
      </w:r>
    </w:p>
    <w:p w:rsidR="00D61E64" w:rsidRPr="00B701D2" w:rsidRDefault="00D61E64" w:rsidP="00D61E64">
      <w:pPr>
        <w:pStyle w:val="TextTi12"/>
        <w:spacing w:after="0" w:line="600" w:lineRule="exact"/>
        <w:ind w:firstLineChars="200" w:firstLine="640"/>
        <w:rPr>
          <w:rFonts w:eastAsia="仿宋_GB2312"/>
          <w:kern w:val="2"/>
          <w:sz w:val="32"/>
          <w:szCs w:val="32"/>
          <w:lang w:val="en-US" w:eastAsia="zh-CN"/>
        </w:rPr>
      </w:pPr>
      <w:r w:rsidRPr="00B701D2">
        <w:rPr>
          <w:rFonts w:eastAsia="仿宋_GB2312"/>
          <w:kern w:val="2"/>
          <w:sz w:val="32"/>
          <w:szCs w:val="32"/>
          <w:lang w:val="en-US" w:eastAsia="zh-CN"/>
        </w:rPr>
        <w:t>在上述研究预防肾脏移植排斥反应的三组对照试验当中，接受每日</w:t>
      </w:r>
      <w:r w:rsidRPr="00B701D2">
        <w:rPr>
          <w:rFonts w:eastAsia="仿宋_GB2312"/>
          <w:kern w:val="2"/>
          <w:sz w:val="32"/>
          <w:szCs w:val="32"/>
          <w:lang w:val="en-US" w:eastAsia="zh-CN"/>
        </w:rPr>
        <w:t>2</w:t>
      </w:r>
      <w:r w:rsidRPr="00B701D2">
        <w:rPr>
          <w:rFonts w:eastAsia="仿宋_GB2312"/>
          <w:kern w:val="2"/>
          <w:sz w:val="32"/>
          <w:szCs w:val="32"/>
          <w:lang w:val="en-US" w:eastAsia="zh-CN"/>
        </w:rPr>
        <w:t>克本品治疗的患者的安全性特征在总体上优于接受</w:t>
      </w:r>
      <w:r w:rsidRPr="00B701D2">
        <w:rPr>
          <w:rFonts w:eastAsia="仿宋_GB2312"/>
          <w:kern w:val="2"/>
          <w:sz w:val="32"/>
          <w:szCs w:val="32"/>
          <w:lang w:val="en-US" w:eastAsia="zh-CN"/>
        </w:rPr>
        <w:t>3</w:t>
      </w:r>
      <w:r w:rsidRPr="00B701D2">
        <w:rPr>
          <w:rFonts w:eastAsia="仿宋_GB2312"/>
          <w:kern w:val="2"/>
          <w:sz w:val="32"/>
          <w:szCs w:val="32"/>
          <w:lang w:val="en-US" w:eastAsia="zh-CN"/>
        </w:rPr>
        <w:t>克本品治疗的患者。</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lastRenderedPageBreak/>
        <w:t>上市后经验</w:t>
      </w:r>
    </w:p>
    <w:p w:rsidR="00D61E64" w:rsidRPr="00B701D2" w:rsidRDefault="00D61E64" w:rsidP="00D61E64">
      <w:pPr>
        <w:pStyle w:val="TextTi12"/>
        <w:spacing w:after="0" w:line="600" w:lineRule="exact"/>
        <w:ind w:firstLineChars="200" w:firstLine="640"/>
        <w:rPr>
          <w:rFonts w:eastAsia="仿宋_GB2312"/>
          <w:kern w:val="2"/>
          <w:sz w:val="32"/>
          <w:szCs w:val="32"/>
          <w:lang w:val="en-US" w:eastAsia="zh-CN"/>
        </w:rPr>
      </w:pPr>
      <w:r w:rsidRPr="00B701D2">
        <w:rPr>
          <w:rFonts w:eastAsia="仿宋_GB2312" w:hint="eastAsia"/>
          <w:kern w:val="2"/>
          <w:sz w:val="32"/>
          <w:szCs w:val="32"/>
          <w:lang w:val="en-US" w:eastAsia="zh-CN"/>
        </w:rPr>
        <w:t>感染：</w:t>
      </w:r>
    </w:p>
    <w:p w:rsidR="00D61E64" w:rsidRPr="00B701D2" w:rsidRDefault="00D61E64" w:rsidP="00D61E64">
      <w:pPr>
        <w:pStyle w:val="TextTi12"/>
        <w:spacing w:after="0" w:line="600" w:lineRule="exact"/>
        <w:ind w:firstLineChars="200" w:firstLine="640"/>
        <w:rPr>
          <w:rFonts w:eastAsia="仿宋_GB2312"/>
          <w:kern w:val="2"/>
          <w:sz w:val="32"/>
          <w:szCs w:val="32"/>
          <w:lang w:val="en-US" w:eastAsia="zh-CN"/>
        </w:rPr>
      </w:pPr>
      <w:r w:rsidRPr="00B701D2">
        <w:rPr>
          <w:rFonts w:eastAsia="仿宋_GB2312"/>
          <w:kern w:val="2"/>
          <w:sz w:val="32"/>
          <w:szCs w:val="32"/>
          <w:lang w:val="en-US" w:eastAsia="zh-CN"/>
        </w:rPr>
        <w:t>严重的威胁生命的感染，例如脑膜炎和感染性心内膜炎偶有报道，有证据表明一定类型的感染如结核和非典型分枝杆菌感染有较高的发生率。</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在使用本品治疗的患者中报告的进行性多灶性白质脑病（</w:t>
      </w:r>
      <w:r w:rsidRPr="00B701D2">
        <w:rPr>
          <w:rFonts w:eastAsia="仿宋_GB2312"/>
          <w:sz w:val="32"/>
          <w:szCs w:val="32"/>
        </w:rPr>
        <w:t>PML</w:t>
      </w:r>
      <w:r w:rsidRPr="00B701D2">
        <w:rPr>
          <w:rFonts w:eastAsia="仿宋_GB2312" w:hint="eastAsia"/>
          <w:sz w:val="32"/>
          <w:szCs w:val="32"/>
        </w:rPr>
        <w:t>）病例中有患者死亡，报告的病例一般具有</w:t>
      </w:r>
      <w:r w:rsidRPr="00B701D2">
        <w:rPr>
          <w:rFonts w:eastAsia="仿宋_GB2312"/>
          <w:sz w:val="32"/>
          <w:szCs w:val="32"/>
        </w:rPr>
        <w:t>PML</w:t>
      </w:r>
      <w:r w:rsidRPr="00B701D2">
        <w:rPr>
          <w:rFonts w:eastAsia="仿宋_GB2312"/>
          <w:sz w:val="32"/>
          <w:szCs w:val="32"/>
        </w:rPr>
        <w:t>的危险因素，包括免疫抑制剂疗法和免疫功能缺陷。</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在使用本品治疗的患者中有</w:t>
      </w:r>
      <w:r w:rsidRPr="00B701D2">
        <w:rPr>
          <w:rFonts w:eastAsia="仿宋_GB2312"/>
          <w:sz w:val="32"/>
          <w:szCs w:val="32"/>
        </w:rPr>
        <w:t>BK</w:t>
      </w:r>
      <w:r w:rsidRPr="00B701D2">
        <w:rPr>
          <w:rFonts w:eastAsia="仿宋_GB2312" w:hint="eastAsia"/>
          <w:sz w:val="32"/>
          <w:szCs w:val="32"/>
        </w:rPr>
        <w:t>病毒相关性肾病的报道。这种感染可能造成严重的后果，有时可致肾移植物丢失。</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血液和免疫系统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在接受本品联合其他免疫抑制剂治疗的患者中，有报道发生单纯红细胞再生障碍性贫血（</w:t>
      </w:r>
      <w:r w:rsidRPr="00B701D2">
        <w:rPr>
          <w:rFonts w:eastAsia="仿宋_GB2312"/>
          <w:sz w:val="32"/>
          <w:szCs w:val="32"/>
        </w:rPr>
        <w:t>PRCA</w:t>
      </w:r>
      <w:r w:rsidRPr="00B701D2">
        <w:rPr>
          <w:rFonts w:eastAsia="仿宋_GB2312" w:hint="eastAsia"/>
          <w:sz w:val="32"/>
          <w:szCs w:val="32"/>
        </w:rPr>
        <w:t>）和低丙种球蛋白血症。</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先天性疾病：</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上市后已经报告了妊娠期内接受本品和其它免疫抑制剂联合治疗的患者子女中出现先天性畸形的报道，包括耳、面部、心脏和神经系统畸变。也有早期妊娠自然流产的报道。</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妊娠期、产褥期及围产期：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在暴露于吗替麦考酚酯的患者（主要是妊娠早期）中有关于自然流产的报告（见【孕妇及哺乳期妇女用药】）。</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胃肠道：</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结肠炎（有时由巨细胞病毒属引起）、胰腺炎、及个别关于</w:t>
      </w:r>
      <w:r w:rsidRPr="00B701D2">
        <w:rPr>
          <w:rFonts w:eastAsia="仿宋_GB2312" w:hint="eastAsia"/>
          <w:sz w:val="32"/>
          <w:szCs w:val="32"/>
        </w:rPr>
        <w:lastRenderedPageBreak/>
        <w:t>小肠绒毛萎缩的病例报告。</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本品上市后的其他不良反应同在对照的肾脏，心脏和肝脏移植研究中的不良反应相似。</w:t>
      </w:r>
    </w:p>
    <w:p w:rsidR="00D61E64" w:rsidRPr="00917AE0" w:rsidRDefault="00D61E64" w:rsidP="00D61E64">
      <w:pPr>
        <w:spacing w:line="600" w:lineRule="exact"/>
        <w:ind w:firstLineChars="200" w:firstLine="640"/>
        <w:jc w:val="left"/>
        <w:rPr>
          <w:rFonts w:ascii="黑体" w:eastAsia="黑体" w:hAnsi="黑体"/>
          <w:sz w:val="32"/>
          <w:szCs w:val="32"/>
        </w:rPr>
      </w:pPr>
      <w:r w:rsidRPr="00917AE0">
        <w:rPr>
          <w:rFonts w:ascii="黑体" w:eastAsia="黑体" w:hAnsi="黑体" w:hint="eastAsia"/>
          <w:sz w:val="32"/>
          <w:szCs w:val="32"/>
        </w:rPr>
        <w:t>三、【禁忌】项应包括：</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本药的过敏反应已被观察到，因此本品禁用于对于吗替麦考酚酯、麦考酚酸或药物中的其他成分有超敏反应的患者。</w:t>
      </w:r>
    </w:p>
    <w:p w:rsidR="00D61E64" w:rsidRPr="00B701D2" w:rsidRDefault="00D61E64" w:rsidP="00D61E64">
      <w:pPr>
        <w:spacing w:line="600" w:lineRule="exact"/>
        <w:ind w:firstLineChars="200" w:firstLine="640"/>
        <w:jc w:val="left"/>
        <w:rPr>
          <w:rFonts w:eastAsia="仿宋_GB2312"/>
          <w:sz w:val="32"/>
          <w:szCs w:val="32"/>
        </w:rPr>
      </w:pPr>
      <w:r w:rsidRPr="00B701D2">
        <w:rPr>
          <w:rFonts w:eastAsia="仿宋_GB2312"/>
          <w:sz w:val="32"/>
          <w:szCs w:val="32"/>
        </w:rPr>
        <w:t>本品静脉制剂禁用于对聚山梨酯</w:t>
      </w:r>
      <w:r w:rsidRPr="00B701D2">
        <w:rPr>
          <w:rFonts w:eastAsia="仿宋_GB2312"/>
          <w:sz w:val="32"/>
          <w:szCs w:val="32"/>
        </w:rPr>
        <w:t>80</w:t>
      </w:r>
      <w:r w:rsidRPr="00B701D2">
        <w:rPr>
          <w:rFonts w:eastAsia="仿宋_GB2312"/>
          <w:sz w:val="32"/>
          <w:szCs w:val="32"/>
        </w:rPr>
        <w:t>有超敏反应的患者。</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孕妇用药信息以及避孕要求参见【孕妇及哺乳期妇女用药】。</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本品禁用于孕妇，因其可能致突变和致畸（见【孕妇及哺乳期妇女用药】）。</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本品禁用于未使用高效避孕方法的育龄期妇女（见【孕妇及哺乳期妇女用药】）。</w:t>
      </w:r>
    </w:p>
    <w:p w:rsidR="00D61E64" w:rsidRPr="00B701D2" w:rsidRDefault="00D61E64" w:rsidP="00D61E64">
      <w:pPr>
        <w:spacing w:line="600" w:lineRule="exact"/>
        <w:ind w:firstLineChars="200" w:firstLine="640"/>
        <w:jc w:val="left"/>
        <w:rPr>
          <w:rFonts w:eastAsia="仿宋_GB2312"/>
          <w:sz w:val="32"/>
          <w:szCs w:val="32"/>
        </w:rPr>
      </w:pPr>
      <w:r w:rsidRPr="00B701D2">
        <w:rPr>
          <w:rFonts w:eastAsia="仿宋_GB2312" w:hint="eastAsia"/>
          <w:sz w:val="32"/>
          <w:szCs w:val="32"/>
        </w:rPr>
        <w:t>本品禁用于哺乳期妇女（见【孕妇及哺乳期妇女用药】）。</w:t>
      </w:r>
    </w:p>
    <w:p w:rsidR="00D61E64" w:rsidRPr="00A2557F" w:rsidRDefault="00D61E64" w:rsidP="00D61E64">
      <w:pPr>
        <w:spacing w:line="600" w:lineRule="exact"/>
        <w:ind w:firstLineChars="200" w:firstLine="640"/>
        <w:jc w:val="left"/>
        <w:rPr>
          <w:rFonts w:ascii="黑体" w:eastAsia="黑体" w:hAnsi="黑体"/>
          <w:sz w:val="32"/>
          <w:szCs w:val="32"/>
        </w:rPr>
      </w:pPr>
      <w:r w:rsidRPr="00A2557F">
        <w:rPr>
          <w:rFonts w:ascii="黑体" w:eastAsia="黑体" w:hAnsi="黑体" w:hint="eastAsia"/>
          <w:sz w:val="32"/>
          <w:szCs w:val="32"/>
        </w:rPr>
        <w:t>四、【注意事项】项应包括：</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禁止将本品注射液通过静脉快速注射或推注给药。</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淋巴瘤及其他肿瘤：</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接受免疫抑制剂治疗的患者，包括联合用药，接受本品作为部分免疫抑制治疗，发生淋巴瘤及其它恶性肿瘤的危险性增加，尤其是皮肤</w:t>
      </w:r>
      <w:r w:rsidRPr="00B701D2">
        <w:rPr>
          <w:rFonts w:eastAsia="仿宋_GB2312" w:hint="eastAsia"/>
          <w:sz w:val="32"/>
          <w:szCs w:val="32"/>
        </w:rPr>
        <w:t>（</w:t>
      </w:r>
      <w:r w:rsidRPr="00B701D2">
        <w:rPr>
          <w:rFonts w:eastAsia="仿宋_GB2312"/>
          <w:sz w:val="32"/>
          <w:szCs w:val="32"/>
        </w:rPr>
        <w:t>见【不良反应】）。危险性与免疫抑制的强度和疗程有关，而与特定的免疫抑制剂无关。</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由于患者发生皮肤癌的危险性增加，应通过穿防护衣或含高防护因子的防晒霜减少暴露于阳光和紫外线下。</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lastRenderedPageBreak/>
        <w:t>感染</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免疫系统的过度抑制可增加对感染的易感性，包括</w:t>
      </w:r>
      <w:r w:rsidRPr="00B701D2">
        <w:rPr>
          <w:rFonts w:eastAsia="仿宋_GB2312" w:hint="eastAsia"/>
          <w:sz w:val="32"/>
          <w:szCs w:val="32"/>
        </w:rPr>
        <w:t>机会感染</w:t>
      </w:r>
      <w:r w:rsidRPr="00B701D2">
        <w:rPr>
          <w:rFonts w:eastAsia="仿宋_GB2312"/>
          <w:sz w:val="32"/>
          <w:szCs w:val="32"/>
        </w:rPr>
        <w:t>，致死感染和败血症。</w:t>
      </w:r>
      <w:r w:rsidRPr="00B701D2">
        <w:rPr>
          <w:rFonts w:eastAsia="仿宋_GB2312" w:hint="eastAsia"/>
          <w:sz w:val="32"/>
          <w:szCs w:val="32"/>
        </w:rPr>
        <w:t>这种感染包括潜伏病毒的再激活，如乙肝或丙肝病毒的再激活，或多瘤病毒引起的感染。已有使用免疫抑制剂治疗的肝炎病毒携带者因乙肝或丙肝病毒再激活引发肝炎的病例报道。</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使用本品治疗的患者中</w:t>
      </w:r>
      <w:r w:rsidRPr="00B701D2">
        <w:rPr>
          <w:rFonts w:eastAsia="仿宋_GB2312" w:hint="eastAsia"/>
          <w:sz w:val="32"/>
          <w:szCs w:val="32"/>
        </w:rPr>
        <w:t>，有发生与</w:t>
      </w:r>
      <w:r w:rsidRPr="00B701D2">
        <w:rPr>
          <w:rFonts w:eastAsia="仿宋_GB2312"/>
          <w:sz w:val="32"/>
          <w:szCs w:val="32"/>
        </w:rPr>
        <w:t>JC</w:t>
      </w:r>
      <w:r w:rsidRPr="00B701D2">
        <w:rPr>
          <w:rFonts w:eastAsia="仿宋_GB2312" w:hint="eastAsia"/>
          <w:sz w:val="32"/>
          <w:szCs w:val="32"/>
        </w:rPr>
        <w:t>病毒相关的进行性多病灶脑病（</w:t>
      </w:r>
      <w:r w:rsidRPr="00B701D2">
        <w:rPr>
          <w:rFonts w:eastAsia="仿宋_GB2312"/>
          <w:sz w:val="32"/>
          <w:szCs w:val="32"/>
        </w:rPr>
        <w:t>PML</w:t>
      </w:r>
      <w:r w:rsidRPr="00B701D2">
        <w:rPr>
          <w:rFonts w:eastAsia="仿宋_GB2312" w:hint="eastAsia"/>
          <w:sz w:val="32"/>
          <w:szCs w:val="32"/>
        </w:rPr>
        <w:t>）</w:t>
      </w:r>
      <w:r w:rsidRPr="00B701D2">
        <w:rPr>
          <w:rFonts w:eastAsia="仿宋_GB2312"/>
          <w:sz w:val="32"/>
          <w:szCs w:val="32"/>
        </w:rPr>
        <w:t>病例中</w:t>
      </w:r>
      <w:r w:rsidRPr="00B701D2">
        <w:rPr>
          <w:rFonts w:eastAsia="仿宋_GB2312" w:hint="eastAsia"/>
          <w:sz w:val="32"/>
          <w:szCs w:val="32"/>
        </w:rPr>
        <w:t>报道，且部分病例为致死性病例，</w:t>
      </w:r>
      <w:r w:rsidRPr="00B701D2">
        <w:rPr>
          <w:rFonts w:eastAsia="仿宋_GB2312"/>
          <w:sz w:val="32"/>
          <w:szCs w:val="32"/>
        </w:rPr>
        <w:t>PML</w:t>
      </w:r>
      <w:r w:rsidRPr="00B701D2">
        <w:rPr>
          <w:rFonts w:eastAsia="仿宋_GB2312" w:hint="eastAsia"/>
          <w:sz w:val="32"/>
          <w:szCs w:val="32"/>
        </w:rPr>
        <w:t>通常表现为</w:t>
      </w:r>
      <w:r w:rsidRPr="00B701D2">
        <w:rPr>
          <w:rFonts w:eastAsia="仿宋_GB2312"/>
          <w:sz w:val="32"/>
          <w:szCs w:val="32"/>
        </w:rPr>
        <w:t>轻偏瘫、</w:t>
      </w:r>
      <w:r w:rsidRPr="00B701D2">
        <w:rPr>
          <w:rFonts w:eastAsia="仿宋_GB2312" w:hint="eastAsia"/>
          <w:sz w:val="32"/>
          <w:szCs w:val="32"/>
        </w:rPr>
        <w:t>冷淡</w:t>
      </w:r>
      <w:r w:rsidRPr="00B701D2">
        <w:rPr>
          <w:rFonts w:eastAsia="仿宋_GB2312"/>
          <w:sz w:val="32"/>
          <w:szCs w:val="32"/>
        </w:rPr>
        <w:t>、</w:t>
      </w:r>
      <w:r w:rsidRPr="00B701D2">
        <w:rPr>
          <w:rFonts w:eastAsia="仿宋_GB2312" w:hint="eastAsia"/>
          <w:sz w:val="32"/>
          <w:szCs w:val="32"/>
        </w:rPr>
        <w:t>意识</w:t>
      </w:r>
      <w:r w:rsidRPr="00B701D2">
        <w:rPr>
          <w:rFonts w:eastAsia="仿宋_GB2312"/>
          <w:sz w:val="32"/>
          <w:szCs w:val="32"/>
        </w:rPr>
        <w:t>模糊、认知</w:t>
      </w:r>
      <w:r w:rsidRPr="00B701D2">
        <w:rPr>
          <w:rFonts w:eastAsia="仿宋_GB2312" w:hint="eastAsia"/>
          <w:sz w:val="32"/>
          <w:szCs w:val="32"/>
        </w:rPr>
        <w:t>障碍</w:t>
      </w:r>
      <w:r w:rsidRPr="00B701D2">
        <w:rPr>
          <w:rFonts w:eastAsia="仿宋_GB2312"/>
          <w:sz w:val="32"/>
          <w:szCs w:val="32"/>
        </w:rPr>
        <w:t>和共济失调。报告的病例一般具有</w:t>
      </w:r>
      <w:r w:rsidRPr="00B701D2">
        <w:rPr>
          <w:rFonts w:eastAsia="仿宋_GB2312"/>
          <w:sz w:val="32"/>
          <w:szCs w:val="32"/>
        </w:rPr>
        <w:t>PML</w:t>
      </w:r>
      <w:r w:rsidRPr="00B701D2">
        <w:rPr>
          <w:rFonts w:eastAsia="仿宋_GB2312"/>
          <w:sz w:val="32"/>
          <w:szCs w:val="32"/>
        </w:rPr>
        <w:t>的危险因素，包括免疫抑制剂疗法和免疫功能缺损。对于免疫抑制患者，医生应考虑对报告有神经症状的患者采取</w:t>
      </w:r>
      <w:r w:rsidRPr="00B701D2">
        <w:rPr>
          <w:rFonts w:eastAsia="仿宋_GB2312"/>
          <w:sz w:val="32"/>
          <w:szCs w:val="32"/>
        </w:rPr>
        <w:t>PML</w:t>
      </w:r>
      <w:r w:rsidRPr="00B701D2">
        <w:rPr>
          <w:rFonts w:eastAsia="仿宋_GB2312"/>
          <w:sz w:val="32"/>
          <w:szCs w:val="32"/>
        </w:rPr>
        <w:t>鉴别诊断，还应</w:t>
      </w:r>
      <w:r w:rsidRPr="00B701D2">
        <w:rPr>
          <w:rFonts w:eastAsia="仿宋_GB2312" w:hint="eastAsia"/>
          <w:sz w:val="32"/>
          <w:szCs w:val="32"/>
        </w:rPr>
        <w:t>请</w:t>
      </w:r>
      <w:r w:rsidRPr="00B701D2">
        <w:rPr>
          <w:rFonts w:eastAsia="仿宋_GB2312"/>
          <w:sz w:val="32"/>
          <w:szCs w:val="32"/>
        </w:rPr>
        <w:t>神经病学家</w:t>
      </w:r>
      <w:r w:rsidRPr="00B701D2">
        <w:rPr>
          <w:rFonts w:eastAsia="仿宋_GB2312" w:hint="eastAsia"/>
          <w:sz w:val="32"/>
          <w:szCs w:val="32"/>
        </w:rPr>
        <w:t>给予专科意见</w:t>
      </w:r>
      <w:r w:rsidRPr="00B701D2">
        <w:rPr>
          <w:rFonts w:eastAsia="仿宋_GB2312"/>
          <w:sz w:val="32"/>
          <w:szCs w:val="32"/>
        </w:rPr>
        <w:t>。</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在肾移植后使用本品治疗的患者中有</w:t>
      </w:r>
      <w:r w:rsidRPr="00B701D2">
        <w:rPr>
          <w:rFonts w:eastAsia="仿宋_GB2312"/>
          <w:sz w:val="32"/>
          <w:szCs w:val="32"/>
        </w:rPr>
        <w:t>BK</w:t>
      </w:r>
      <w:r w:rsidRPr="00B701D2">
        <w:rPr>
          <w:rFonts w:eastAsia="仿宋_GB2312" w:hint="eastAsia"/>
          <w:sz w:val="32"/>
          <w:szCs w:val="32"/>
        </w:rPr>
        <w:t>病毒相关性肾病的报道，这种感染可能造成严重的后果，有时候可能导致</w:t>
      </w:r>
      <w:r w:rsidRPr="00B701D2">
        <w:rPr>
          <w:rFonts w:eastAsia="仿宋_GB2312"/>
          <w:sz w:val="32"/>
          <w:szCs w:val="32"/>
        </w:rPr>
        <w:t>肾移植失败</w:t>
      </w:r>
      <w:r w:rsidRPr="00B701D2">
        <w:rPr>
          <w:rFonts w:eastAsia="仿宋_GB2312" w:hint="eastAsia"/>
          <w:sz w:val="32"/>
          <w:szCs w:val="32"/>
        </w:rPr>
        <w:t>。对病人进行监测有助于发现其罹患</w:t>
      </w:r>
      <w:r w:rsidRPr="00B701D2">
        <w:rPr>
          <w:rFonts w:eastAsia="仿宋_GB2312"/>
          <w:sz w:val="32"/>
          <w:szCs w:val="32"/>
        </w:rPr>
        <w:t>BK</w:t>
      </w:r>
      <w:r w:rsidRPr="00B701D2">
        <w:rPr>
          <w:rFonts w:eastAsia="仿宋_GB2312" w:hint="eastAsia"/>
          <w:sz w:val="32"/>
          <w:szCs w:val="32"/>
        </w:rPr>
        <w:t>病毒相关性肾病的风险。有确诊</w:t>
      </w:r>
      <w:r w:rsidRPr="00B701D2">
        <w:rPr>
          <w:rFonts w:eastAsia="仿宋_GB2312"/>
          <w:sz w:val="32"/>
          <w:szCs w:val="32"/>
        </w:rPr>
        <w:t>BK</w:t>
      </w:r>
      <w:r w:rsidRPr="00B701D2">
        <w:rPr>
          <w:rFonts w:eastAsia="仿宋_GB2312" w:hint="eastAsia"/>
          <w:sz w:val="32"/>
          <w:szCs w:val="32"/>
        </w:rPr>
        <w:t>病毒相关性肾病迹象的患者应考虑降低其免疫抑制剂的用量。</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血液及免疫系统：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在每日接受</w:t>
      </w:r>
      <w:r w:rsidRPr="00B701D2">
        <w:rPr>
          <w:rFonts w:eastAsia="仿宋_GB2312"/>
          <w:sz w:val="32"/>
          <w:szCs w:val="32"/>
        </w:rPr>
        <w:t>3g</w:t>
      </w:r>
      <w:r w:rsidRPr="00B701D2">
        <w:rPr>
          <w:rFonts w:eastAsia="仿宋_GB2312" w:hint="eastAsia"/>
          <w:sz w:val="32"/>
          <w:szCs w:val="32"/>
        </w:rPr>
        <w:t>本品治疗的肾移植受者、心脏移植受者、和肝移植受者中，分别有</w:t>
      </w:r>
      <w:r w:rsidRPr="00B701D2">
        <w:rPr>
          <w:rFonts w:eastAsia="仿宋_GB2312"/>
          <w:sz w:val="32"/>
          <w:szCs w:val="32"/>
        </w:rPr>
        <w:t>2.0%</w:t>
      </w:r>
      <w:r w:rsidRPr="00B701D2">
        <w:rPr>
          <w:rFonts w:eastAsia="仿宋_GB2312" w:hint="eastAsia"/>
          <w:sz w:val="32"/>
          <w:szCs w:val="32"/>
        </w:rPr>
        <w:t>、</w:t>
      </w:r>
      <w:r w:rsidRPr="00B701D2">
        <w:rPr>
          <w:rFonts w:eastAsia="仿宋_GB2312"/>
          <w:sz w:val="32"/>
          <w:szCs w:val="32"/>
        </w:rPr>
        <w:t>2.8%</w:t>
      </w:r>
      <w:r w:rsidRPr="00B701D2">
        <w:rPr>
          <w:rFonts w:eastAsia="仿宋_GB2312" w:hint="eastAsia"/>
          <w:sz w:val="32"/>
          <w:szCs w:val="32"/>
        </w:rPr>
        <w:t>、</w:t>
      </w:r>
      <w:r w:rsidRPr="00B701D2">
        <w:rPr>
          <w:rFonts w:eastAsia="仿宋_GB2312"/>
          <w:sz w:val="32"/>
          <w:szCs w:val="32"/>
        </w:rPr>
        <w:t>3.6%</w:t>
      </w:r>
      <w:r w:rsidRPr="00B701D2">
        <w:rPr>
          <w:rFonts w:eastAsia="仿宋_GB2312" w:hint="eastAsia"/>
          <w:sz w:val="32"/>
          <w:szCs w:val="32"/>
        </w:rPr>
        <w:t>患者出现严重中</w:t>
      </w:r>
      <w:r>
        <w:rPr>
          <w:rFonts w:eastAsia="仿宋_GB2312" w:hint="eastAsia"/>
          <w:sz w:val="32"/>
          <w:szCs w:val="32"/>
        </w:rPr>
        <w:t>性</w:t>
      </w:r>
      <w:r w:rsidRPr="00B701D2">
        <w:rPr>
          <w:rFonts w:eastAsia="仿宋_GB2312" w:hint="eastAsia"/>
          <w:sz w:val="32"/>
          <w:szCs w:val="32"/>
        </w:rPr>
        <w:t>粒细胞减少症﹝中</w:t>
      </w:r>
      <w:r>
        <w:rPr>
          <w:rFonts w:eastAsia="仿宋_GB2312" w:hint="eastAsia"/>
          <w:sz w:val="32"/>
          <w:szCs w:val="32"/>
        </w:rPr>
        <w:t>性</w:t>
      </w:r>
      <w:r w:rsidRPr="00B701D2">
        <w:rPr>
          <w:rFonts w:eastAsia="仿宋_GB2312" w:hint="eastAsia"/>
          <w:sz w:val="32"/>
          <w:szCs w:val="32"/>
        </w:rPr>
        <w:t>粒细胞计数（</w:t>
      </w:r>
      <w:r w:rsidRPr="00B701D2">
        <w:rPr>
          <w:rFonts w:eastAsia="仿宋_GB2312"/>
          <w:sz w:val="32"/>
          <w:szCs w:val="32"/>
        </w:rPr>
        <w:t>ANC</w:t>
      </w:r>
      <w:r w:rsidRPr="00B701D2">
        <w:rPr>
          <w:rFonts w:eastAsia="仿宋_GB2312" w:hint="eastAsia"/>
          <w:sz w:val="32"/>
          <w:szCs w:val="32"/>
        </w:rPr>
        <w:t>）＜</w:t>
      </w:r>
      <w:r w:rsidRPr="00B701D2">
        <w:rPr>
          <w:rFonts w:eastAsia="仿宋_GB2312"/>
          <w:sz w:val="32"/>
          <w:szCs w:val="32"/>
        </w:rPr>
        <w:t>0.5</w:t>
      </w:r>
      <w:r w:rsidRPr="00B701D2">
        <w:rPr>
          <w:rFonts w:eastAsia="仿宋_GB2312" w:hint="eastAsia"/>
          <w:sz w:val="32"/>
          <w:szCs w:val="32"/>
        </w:rPr>
        <w:t>×</w:t>
      </w:r>
      <w:r w:rsidRPr="00B701D2">
        <w:rPr>
          <w:rFonts w:eastAsia="仿宋_GB2312"/>
          <w:sz w:val="32"/>
          <w:szCs w:val="32"/>
        </w:rPr>
        <w:t>10</w:t>
      </w:r>
      <w:r w:rsidRPr="00B701D2">
        <w:rPr>
          <w:rFonts w:eastAsia="仿宋_GB2312"/>
          <w:sz w:val="32"/>
          <w:szCs w:val="32"/>
          <w:vertAlign w:val="superscript"/>
        </w:rPr>
        <w:t>3</w:t>
      </w:r>
      <w:r w:rsidRPr="00B701D2">
        <w:rPr>
          <w:rFonts w:eastAsia="仿宋_GB2312"/>
          <w:sz w:val="32"/>
          <w:szCs w:val="32"/>
        </w:rPr>
        <w:t>/</w:t>
      </w:r>
      <w:r w:rsidRPr="00B701D2">
        <w:rPr>
          <w:rFonts w:eastAsia="仿宋_GB2312"/>
          <w:sz w:val="32"/>
          <w:szCs w:val="32"/>
        </w:rPr>
        <w:sym w:font="Symbol" w:char="F06D"/>
      </w:r>
      <w:r w:rsidRPr="00B701D2">
        <w:rPr>
          <w:rFonts w:eastAsia="仿宋_GB2312"/>
          <w:sz w:val="32"/>
          <w:szCs w:val="32"/>
        </w:rPr>
        <w:t>L</w:t>
      </w:r>
      <w:r w:rsidRPr="00B701D2">
        <w:rPr>
          <w:rFonts w:eastAsia="仿宋_GB2312" w:hint="eastAsia"/>
          <w:sz w:val="32"/>
          <w:szCs w:val="32"/>
        </w:rPr>
        <w:t>﹞。患者在</w:t>
      </w:r>
      <w:r w:rsidRPr="00B701D2">
        <w:rPr>
          <w:rFonts w:eastAsia="仿宋_GB2312"/>
          <w:sz w:val="32"/>
          <w:szCs w:val="32"/>
        </w:rPr>
        <w:t>接受</w:t>
      </w:r>
      <w:r w:rsidRPr="00B701D2">
        <w:rPr>
          <w:rFonts w:eastAsia="仿宋_GB2312" w:hint="eastAsia"/>
          <w:sz w:val="32"/>
          <w:szCs w:val="32"/>
        </w:rPr>
        <w:t>本品</w:t>
      </w:r>
      <w:r w:rsidRPr="00B701D2">
        <w:rPr>
          <w:rFonts w:eastAsia="仿宋_GB2312"/>
          <w:sz w:val="32"/>
          <w:szCs w:val="32"/>
        </w:rPr>
        <w:t>治疗</w:t>
      </w:r>
      <w:r w:rsidRPr="00B701D2">
        <w:rPr>
          <w:rFonts w:eastAsia="仿宋_GB2312" w:hint="eastAsia"/>
          <w:sz w:val="32"/>
          <w:szCs w:val="32"/>
        </w:rPr>
        <w:t>的第一个月内，应每周完成一次全血细胞计数检</w:t>
      </w:r>
      <w:r w:rsidRPr="00B701D2">
        <w:rPr>
          <w:rFonts w:eastAsia="仿宋_GB2312" w:hint="eastAsia"/>
          <w:sz w:val="32"/>
          <w:szCs w:val="32"/>
        </w:rPr>
        <w:lastRenderedPageBreak/>
        <w:t>验；在治疗的第二个月和第三个月内，应每月完成两次检验；然后至一年时，应每月完成一次检验。</w:t>
      </w:r>
      <w:r w:rsidRPr="00B701D2">
        <w:rPr>
          <w:rFonts w:eastAsia="仿宋_GB2312"/>
          <w:sz w:val="32"/>
          <w:szCs w:val="32"/>
        </w:rPr>
        <w:t>应</w:t>
      </w:r>
      <w:r w:rsidRPr="00B701D2">
        <w:rPr>
          <w:rFonts w:eastAsia="仿宋_GB2312" w:hint="eastAsia"/>
          <w:sz w:val="32"/>
          <w:szCs w:val="32"/>
        </w:rPr>
        <w:t>特别</w:t>
      </w:r>
      <w:r w:rsidRPr="00B701D2">
        <w:rPr>
          <w:rFonts w:eastAsia="仿宋_GB2312"/>
          <w:sz w:val="32"/>
          <w:szCs w:val="32"/>
        </w:rPr>
        <w:t>监</w:t>
      </w:r>
      <w:r w:rsidRPr="00B701D2">
        <w:rPr>
          <w:rFonts w:eastAsia="仿宋_GB2312" w:hint="eastAsia"/>
          <w:sz w:val="32"/>
          <w:szCs w:val="32"/>
        </w:rPr>
        <w:t>测</w:t>
      </w:r>
      <w:r w:rsidRPr="00B701D2">
        <w:rPr>
          <w:rFonts w:eastAsia="仿宋_GB2312"/>
          <w:sz w:val="32"/>
          <w:szCs w:val="32"/>
        </w:rPr>
        <w:t>中性粒细胞减少症的出现情况（见【</w:t>
      </w:r>
      <w:r w:rsidRPr="00B701D2">
        <w:rPr>
          <w:rFonts w:eastAsia="仿宋_GB2312" w:hint="eastAsia"/>
          <w:sz w:val="32"/>
          <w:szCs w:val="32"/>
        </w:rPr>
        <w:t>注意事项</w:t>
      </w:r>
      <w:r w:rsidRPr="00B701D2">
        <w:rPr>
          <w:rFonts w:eastAsia="仿宋_GB2312"/>
          <w:sz w:val="32"/>
          <w:szCs w:val="32"/>
        </w:rPr>
        <w:t>】：实验室检验）。中性粒细胞减少症的出现可能与</w:t>
      </w:r>
      <w:r w:rsidRPr="00B701D2">
        <w:rPr>
          <w:rFonts w:eastAsia="仿宋_GB2312" w:hint="eastAsia"/>
          <w:sz w:val="32"/>
          <w:szCs w:val="32"/>
        </w:rPr>
        <w:t>本品</w:t>
      </w:r>
      <w:r w:rsidRPr="00B701D2">
        <w:rPr>
          <w:rFonts w:eastAsia="仿宋_GB2312"/>
          <w:sz w:val="32"/>
          <w:szCs w:val="32"/>
        </w:rPr>
        <w:t>有关，也可能与合用药物、病毒感染或</w:t>
      </w:r>
      <w:r w:rsidRPr="00B701D2">
        <w:rPr>
          <w:rFonts w:eastAsia="仿宋_GB2312" w:hint="eastAsia"/>
          <w:sz w:val="32"/>
          <w:szCs w:val="32"/>
        </w:rPr>
        <w:t>综</w:t>
      </w:r>
      <w:r w:rsidRPr="00B701D2">
        <w:rPr>
          <w:rFonts w:eastAsia="仿宋_GB2312"/>
          <w:sz w:val="32"/>
          <w:szCs w:val="32"/>
        </w:rPr>
        <w:t>合原因等有关。如果出现中性粒细胞减少症（</w:t>
      </w:r>
      <w:r w:rsidRPr="00B701D2">
        <w:rPr>
          <w:rFonts w:eastAsia="仿宋_GB2312"/>
          <w:sz w:val="32"/>
          <w:szCs w:val="32"/>
        </w:rPr>
        <w:t>ANC &lt;1.3</w:t>
      </w:r>
      <w:r w:rsidRPr="004B398F">
        <w:rPr>
          <w:rFonts w:eastAsia="仿宋_GB2312" w:hint="eastAsia"/>
          <w:sz w:val="32"/>
          <w:szCs w:val="32"/>
        </w:rPr>
        <w:t>×</w:t>
      </w:r>
      <w:r w:rsidRPr="00B701D2">
        <w:rPr>
          <w:rFonts w:eastAsia="仿宋_GB2312"/>
          <w:sz w:val="32"/>
          <w:szCs w:val="32"/>
        </w:rPr>
        <w:t>10</w:t>
      </w:r>
      <w:r w:rsidRPr="00B701D2">
        <w:rPr>
          <w:rFonts w:eastAsia="仿宋_GB2312"/>
          <w:sz w:val="32"/>
          <w:szCs w:val="32"/>
          <w:vertAlign w:val="superscript"/>
        </w:rPr>
        <w:t>3</w:t>
      </w:r>
      <w:r w:rsidRPr="00B701D2">
        <w:rPr>
          <w:rFonts w:eastAsia="仿宋_GB2312"/>
          <w:sz w:val="32"/>
          <w:szCs w:val="32"/>
        </w:rPr>
        <w:t>/</w:t>
      </w:r>
      <w:r w:rsidRPr="00B701D2">
        <w:rPr>
          <w:rFonts w:eastAsia="仿宋_GB2312"/>
          <w:sz w:val="32"/>
          <w:szCs w:val="32"/>
        </w:rPr>
        <w:sym w:font="Symbol" w:char="F06D"/>
      </w:r>
      <w:r w:rsidRPr="00B701D2">
        <w:rPr>
          <w:rFonts w:eastAsia="仿宋_GB2312"/>
          <w:sz w:val="32"/>
          <w:szCs w:val="32"/>
        </w:rPr>
        <w:t>L</w:t>
      </w:r>
      <w:r w:rsidRPr="00B701D2">
        <w:rPr>
          <w:rFonts w:eastAsia="仿宋_GB2312"/>
          <w:sz w:val="32"/>
          <w:szCs w:val="32"/>
        </w:rPr>
        <w:t>），应中断</w:t>
      </w:r>
      <w:r w:rsidRPr="00B701D2">
        <w:rPr>
          <w:rFonts w:eastAsia="仿宋_GB2312" w:hint="eastAsia"/>
          <w:sz w:val="32"/>
          <w:szCs w:val="32"/>
        </w:rPr>
        <w:t>本品</w:t>
      </w:r>
      <w:r w:rsidRPr="00B701D2">
        <w:rPr>
          <w:rFonts w:eastAsia="仿宋_GB2312"/>
          <w:sz w:val="32"/>
          <w:szCs w:val="32"/>
        </w:rPr>
        <w:t>给药，或降低剂量</w:t>
      </w:r>
      <w:r w:rsidRPr="00B701D2">
        <w:rPr>
          <w:rFonts w:eastAsia="仿宋_GB2312" w:hint="eastAsia"/>
          <w:sz w:val="32"/>
          <w:szCs w:val="32"/>
        </w:rPr>
        <w:t>并密切观察</w:t>
      </w:r>
      <w:r w:rsidRPr="00B701D2">
        <w:rPr>
          <w:rFonts w:eastAsia="仿宋_GB2312"/>
          <w:sz w:val="32"/>
          <w:szCs w:val="32"/>
        </w:rPr>
        <w:t>。</w:t>
      </w:r>
      <w:r w:rsidRPr="00B701D2">
        <w:rPr>
          <w:rFonts w:eastAsia="仿宋_GB2312" w:hint="eastAsia"/>
          <w:sz w:val="32"/>
          <w:szCs w:val="32"/>
        </w:rPr>
        <w:t>观察到预防肾移植、心脏移植、或肝移植排异反应患者最常出现中</w:t>
      </w:r>
      <w:r>
        <w:rPr>
          <w:rFonts w:eastAsia="仿宋_GB2312" w:hint="eastAsia"/>
          <w:sz w:val="32"/>
          <w:szCs w:val="32"/>
        </w:rPr>
        <w:t>性</w:t>
      </w:r>
      <w:r w:rsidRPr="00B701D2">
        <w:rPr>
          <w:rFonts w:eastAsia="仿宋_GB2312" w:hint="eastAsia"/>
          <w:sz w:val="32"/>
          <w:szCs w:val="32"/>
        </w:rPr>
        <w:t>粒细胞减少症的时间是移植后</w:t>
      </w:r>
      <w:r w:rsidRPr="00B701D2">
        <w:rPr>
          <w:rFonts w:eastAsia="仿宋_GB2312"/>
          <w:sz w:val="32"/>
          <w:szCs w:val="32"/>
        </w:rPr>
        <w:t>31</w:t>
      </w:r>
      <w:r>
        <w:rPr>
          <w:rFonts w:eastAsia="仿宋_GB2312" w:hint="eastAsia"/>
          <w:sz w:val="32"/>
          <w:szCs w:val="32"/>
        </w:rPr>
        <w:t>—</w:t>
      </w:r>
      <w:r w:rsidRPr="00B701D2">
        <w:rPr>
          <w:rFonts w:eastAsia="仿宋_GB2312"/>
          <w:sz w:val="32"/>
          <w:szCs w:val="32"/>
        </w:rPr>
        <w:t>180</w:t>
      </w:r>
      <w:r w:rsidRPr="00B701D2">
        <w:rPr>
          <w:rFonts w:eastAsia="仿宋_GB2312" w:hint="eastAsia"/>
          <w:sz w:val="32"/>
          <w:szCs w:val="32"/>
        </w:rPr>
        <w:t>天。</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在接受本品联合其他免疫抑制剂治疗的患者中，有报道发生单纯红细胞再生障碍</w:t>
      </w:r>
      <w:r w:rsidRPr="00B701D2">
        <w:rPr>
          <w:rFonts w:eastAsia="仿宋_GB2312"/>
          <w:sz w:val="32"/>
          <w:szCs w:val="32"/>
        </w:rPr>
        <w:t>PRCA</w:t>
      </w:r>
      <w:r w:rsidRPr="00B701D2">
        <w:rPr>
          <w:rFonts w:eastAsia="仿宋_GB2312" w:hint="eastAsia"/>
          <w:sz w:val="32"/>
          <w:szCs w:val="32"/>
        </w:rPr>
        <w:t>。本品导致</w:t>
      </w:r>
      <w:r w:rsidRPr="00B701D2">
        <w:rPr>
          <w:rFonts w:eastAsia="仿宋_GB2312"/>
          <w:sz w:val="32"/>
          <w:szCs w:val="32"/>
        </w:rPr>
        <w:t>PRCA</w:t>
      </w:r>
      <w:r w:rsidRPr="00B701D2">
        <w:rPr>
          <w:rFonts w:eastAsia="仿宋_GB2312" w:hint="eastAsia"/>
          <w:sz w:val="32"/>
          <w:szCs w:val="32"/>
        </w:rPr>
        <w:t>的机理尚不清楚；其他免疫抑制剂作为联合应用药物在免疫抑制治疗中引起</w:t>
      </w:r>
      <w:r w:rsidRPr="00B701D2">
        <w:rPr>
          <w:rFonts w:eastAsia="仿宋_GB2312"/>
          <w:sz w:val="32"/>
          <w:szCs w:val="32"/>
        </w:rPr>
        <w:t>PRCA</w:t>
      </w:r>
      <w:r w:rsidRPr="00B701D2">
        <w:rPr>
          <w:rFonts w:eastAsia="仿宋_GB2312" w:hint="eastAsia"/>
          <w:sz w:val="32"/>
          <w:szCs w:val="32"/>
        </w:rPr>
        <w:t>的相关作用也尚不清楚。在一些病例中，随着本品剂量的减小或中止，发现</w:t>
      </w:r>
      <w:r w:rsidRPr="00B701D2">
        <w:rPr>
          <w:rFonts w:eastAsia="仿宋_GB2312"/>
          <w:sz w:val="32"/>
          <w:szCs w:val="32"/>
        </w:rPr>
        <w:t>PRCA</w:t>
      </w:r>
      <w:r w:rsidRPr="00B701D2">
        <w:rPr>
          <w:rFonts w:eastAsia="仿宋_GB2312" w:hint="eastAsia"/>
          <w:sz w:val="32"/>
          <w:szCs w:val="32"/>
        </w:rPr>
        <w:t>是可逆的。然而，对于移植受者，降低免疫抑制作用可能使移植物遭受排斥风险增大。</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应告知接受本品治疗的患者，在出现任何感染症状</w:t>
      </w:r>
      <w:r w:rsidRPr="00B701D2">
        <w:rPr>
          <w:rFonts w:eastAsia="仿宋_GB2312" w:hint="eastAsia"/>
          <w:sz w:val="32"/>
          <w:szCs w:val="32"/>
        </w:rPr>
        <w:t>、</w:t>
      </w:r>
      <w:r w:rsidRPr="00B701D2">
        <w:rPr>
          <w:rFonts w:eastAsia="仿宋_GB2312"/>
          <w:sz w:val="32"/>
          <w:szCs w:val="32"/>
        </w:rPr>
        <w:t>意外</w:t>
      </w:r>
      <w:r w:rsidRPr="00B701D2">
        <w:rPr>
          <w:rFonts w:eastAsia="仿宋_GB2312" w:hint="eastAsia"/>
          <w:sz w:val="32"/>
          <w:szCs w:val="32"/>
        </w:rPr>
        <w:t>瘀</w:t>
      </w:r>
      <w:r w:rsidRPr="00B701D2">
        <w:rPr>
          <w:rFonts w:eastAsia="仿宋_GB2312"/>
          <w:sz w:val="32"/>
          <w:szCs w:val="32"/>
        </w:rPr>
        <w:t>肿</w:t>
      </w:r>
      <w:r w:rsidRPr="00B701D2">
        <w:rPr>
          <w:rFonts w:eastAsia="仿宋_GB2312" w:hint="eastAsia"/>
          <w:sz w:val="32"/>
          <w:szCs w:val="32"/>
        </w:rPr>
        <w:t>、</w:t>
      </w:r>
      <w:r w:rsidRPr="00B701D2">
        <w:rPr>
          <w:rFonts w:eastAsia="仿宋_GB2312"/>
          <w:sz w:val="32"/>
          <w:szCs w:val="32"/>
        </w:rPr>
        <w:t>出血或其他骨髓抑制表征时</w:t>
      </w:r>
      <w:r w:rsidRPr="00B701D2">
        <w:rPr>
          <w:rFonts w:eastAsia="仿宋_GB2312" w:hint="eastAsia"/>
          <w:sz w:val="32"/>
          <w:szCs w:val="32"/>
        </w:rPr>
        <w:t>应</w:t>
      </w:r>
      <w:r w:rsidRPr="00B701D2">
        <w:rPr>
          <w:rFonts w:eastAsia="仿宋_GB2312"/>
          <w:sz w:val="32"/>
          <w:szCs w:val="32"/>
        </w:rPr>
        <w:t>立即汇报。</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患者应被告知在本品治疗中进行疫苗接种可能效果欠佳。而且应当避免使用减毒活疫苗（见</w:t>
      </w:r>
      <w:r w:rsidRPr="00B701D2">
        <w:rPr>
          <w:rFonts w:eastAsia="仿宋_GB2312" w:hint="eastAsia"/>
          <w:sz w:val="32"/>
          <w:szCs w:val="32"/>
        </w:rPr>
        <w:t>【</w:t>
      </w:r>
      <w:r w:rsidRPr="00B701D2">
        <w:rPr>
          <w:rFonts w:eastAsia="仿宋_GB2312"/>
          <w:sz w:val="32"/>
          <w:szCs w:val="32"/>
        </w:rPr>
        <w:t>药物相互作用</w:t>
      </w:r>
      <w:r w:rsidRPr="00B701D2">
        <w:rPr>
          <w:rFonts w:eastAsia="仿宋_GB2312" w:hint="eastAsia"/>
          <w:sz w:val="32"/>
          <w:szCs w:val="32"/>
        </w:rPr>
        <w:t>】</w:t>
      </w:r>
      <w:r w:rsidRPr="00B701D2">
        <w:rPr>
          <w:rFonts w:eastAsia="仿宋_GB2312"/>
          <w:sz w:val="32"/>
          <w:szCs w:val="32"/>
        </w:rPr>
        <w:t>）。流感疫苗接种是有益的。流感疫苗接种时，处方者应当参考国家指南。</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消化系统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本品同消化系统</w:t>
      </w:r>
      <w:r w:rsidRPr="00B701D2">
        <w:rPr>
          <w:rFonts w:eastAsia="仿宋_GB2312" w:hint="eastAsia"/>
          <w:sz w:val="32"/>
          <w:szCs w:val="32"/>
        </w:rPr>
        <w:t>不良</w:t>
      </w:r>
      <w:r w:rsidRPr="00B701D2">
        <w:rPr>
          <w:rFonts w:eastAsia="仿宋_GB2312"/>
          <w:sz w:val="32"/>
          <w:szCs w:val="32"/>
        </w:rPr>
        <w:t>反应的发生率增高有关，包括</w:t>
      </w:r>
      <w:r w:rsidRPr="00B701D2">
        <w:rPr>
          <w:rFonts w:eastAsia="仿宋_GB2312" w:hint="eastAsia"/>
          <w:sz w:val="32"/>
          <w:szCs w:val="32"/>
        </w:rPr>
        <w:t>罕见</w:t>
      </w:r>
      <w:r w:rsidRPr="00B701D2">
        <w:rPr>
          <w:rFonts w:eastAsia="仿宋_GB2312"/>
          <w:sz w:val="32"/>
          <w:szCs w:val="32"/>
        </w:rPr>
        <w:t>的</w:t>
      </w:r>
      <w:r w:rsidRPr="00B701D2">
        <w:rPr>
          <w:rFonts w:eastAsia="仿宋_GB2312" w:hint="eastAsia"/>
          <w:sz w:val="32"/>
          <w:szCs w:val="32"/>
        </w:rPr>
        <w:t>胃</w:t>
      </w:r>
      <w:r w:rsidRPr="00B701D2">
        <w:rPr>
          <w:rFonts w:eastAsia="仿宋_GB2312"/>
          <w:sz w:val="32"/>
          <w:szCs w:val="32"/>
        </w:rPr>
        <w:t>肠道溃疡、出血、穿孔，所以本品应慎用于有活动性消化系统疾</w:t>
      </w:r>
      <w:r w:rsidRPr="00B701D2">
        <w:rPr>
          <w:rFonts w:eastAsia="仿宋_GB2312"/>
          <w:sz w:val="32"/>
          <w:szCs w:val="32"/>
        </w:rPr>
        <w:lastRenderedPageBreak/>
        <w:t>病的患者。</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理论上讲，因为本品是次黄嘌呤单核苷酸脱氢酶（</w:t>
      </w:r>
      <w:r w:rsidRPr="00B701D2">
        <w:rPr>
          <w:rFonts w:eastAsia="仿宋_GB2312"/>
          <w:sz w:val="32"/>
          <w:szCs w:val="32"/>
        </w:rPr>
        <w:t>IMPDH</w:t>
      </w:r>
      <w:r w:rsidRPr="00B701D2">
        <w:rPr>
          <w:rFonts w:eastAsia="仿宋_GB2312"/>
          <w:sz w:val="32"/>
          <w:szCs w:val="32"/>
        </w:rPr>
        <w:t>）抑制剂，应避免用于罕见的次黄嘌呤</w:t>
      </w:r>
      <w:r>
        <w:rPr>
          <w:rFonts w:eastAsia="仿宋_GB2312" w:hint="eastAsia"/>
          <w:sz w:val="32"/>
          <w:szCs w:val="32"/>
        </w:rPr>
        <w:t>—</w:t>
      </w:r>
      <w:r w:rsidRPr="00B701D2">
        <w:rPr>
          <w:rFonts w:eastAsia="仿宋_GB2312"/>
          <w:sz w:val="32"/>
          <w:szCs w:val="32"/>
        </w:rPr>
        <w:t>鸟嘌呤磷酸核糖转移酶（</w:t>
      </w:r>
      <w:r w:rsidRPr="00B701D2">
        <w:rPr>
          <w:rFonts w:eastAsia="仿宋_GB2312"/>
          <w:sz w:val="32"/>
          <w:szCs w:val="32"/>
        </w:rPr>
        <w:t>HGPRT</w:t>
      </w:r>
      <w:r w:rsidRPr="00B701D2">
        <w:rPr>
          <w:rFonts w:eastAsia="仿宋_GB2312"/>
          <w:sz w:val="32"/>
          <w:szCs w:val="32"/>
        </w:rPr>
        <w:t>）遗传缺陷的患者，如莱</w:t>
      </w:r>
      <w:r>
        <w:rPr>
          <w:rFonts w:eastAsia="仿宋_GB2312" w:hint="eastAsia"/>
          <w:sz w:val="32"/>
          <w:szCs w:val="32"/>
        </w:rPr>
        <w:t>—</w:t>
      </w:r>
      <w:r w:rsidRPr="00B701D2">
        <w:rPr>
          <w:rFonts w:eastAsia="仿宋_GB2312"/>
          <w:sz w:val="32"/>
          <w:szCs w:val="32"/>
        </w:rPr>
        <w:t>尼综合征和</w:t>
      </w:r>
      <w:r w:rsidRPr="00B701D2">
        <w:rPr>
          <w:rFonts w:eastAsia="仿宋_GB2312"/>
          <w:sz w:val="32"/>
          <w:szCs w:val="32"/>
        </w:rPr>
        <w:t>Kelley-Seegmiller</w:t>
      </w:r>
      <w:r w:rsidRPr="00B701D2">
        <w:rPr>
          <w:rFonts w:eastAsia="仿宋_GB2312"/>
          <w:sz w:val="32"/>
          <w:szCs w:val="32"/>
        </w:rPr>
        <w:t>综合征。</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相互作用</w:t>
      </w:r>
    </w:p>
    <w:p w:rsidR="00D61E64" w:rsidRPr="00B701D2" w:rsidRDefault="00D61E64" w:rsidP="00D61E64">
      <w:pPr>
        <w:widowControl/>
        <w:spacing w:line="600" w:lineRule="exact"/>
        <w:ind w:firstLineChars="200" w:firstLine="640"/>
        <w:rPr>
          <w:rFonts w:eastAsia="仿宋_GB2312"/>
          <w:sz w:val="32"/>
          <w:szCs w:val="32"/>
        </w:rPr>
      </w:pPr>
      <w:r w:rsidRPr="00B701D2">
        <w:rPr>
          <w:rFonts w:eastAsia="仿宋_GB2312" w:hint="eastAsia"/>
          <w:sz w:val="32"/>
          <w:szCs w:val="32"/>
        </w:rPr>
        <w:t>含有本品的联合免疫抑制方案转换时需谨慎，因为部分药物可以影响</w:t>
      </w:r>
      <w:r w:rsidRPr="00B701D2">
        <w:rPr>
          <w:rFonts w:eastAsia="仿宋_GB2312"/>
          <w:sz w:val="32"/>
          <w:szCs w:val="32"/>
        </w:rPr>
        <w:t>MPA</w:t>
      </w:r>
      <w:r w:rsidRPr="00B701D2">
        <w:rPr>
          <w:rFonts w:eastAsia="仿宋_GB2312" w:hint="eastAsia"/>
          <w:sz w:val="32"/>
          <w:szCs w:val="32"/>
        </w:rPr>
        <w:t>肝肠循环，例如将环孢素转换为西罗莫司或贝拉西普，则可以避免干扰</w:t>
      </w:r>
      <w:r w:rsidRPr="00B701D2">
        <w:rPr>
          <w:rFonts w:eastAsia="仿宋_GB2312"/>
          <w:sz w:val="32"/>
          <w:szCs w:val="32"/>
        </w:rPr>
        <w:t>MPA</w:t>
      </w:r>
      <w:r w:rsidRPr="00B701D2">
        <w:rPr>
          <w:rFonts w:eastAsia="仿宋_GB2312" w:hint="eastAsia"/>
          <w:sz w:val="32"/>
          <w:szCs w:val="32"/>
        </w:rPr>
        <w:t>的肝肠循环；或者反之，则可能导致</w:t>
      </w:r>
      <w:r w:rsidRPr="00B701D2">
        <w:rPr>
          <w:rFonts w:eastAsia="仿宋_GB2312"/>
          <w:sz w:val="32"/>
          <w:szCs w:val="32"/>
        </w:rPr>
        <w:t>MPA</w:t>
      </w:r>
      <w:r w:rsidRPr="00B701D2">
        <w:rPr>
          <w:rFonts w:eastAsia="仿宋_GB2312" w:hint="eastAsia"/>
          <w:sz w:val="32"/>
          <w:szCs w:val="32"/>
        </w:rPr>
        <w:t>暴露的变化。其他可以干扰</w:t>
      </w:r>
      <w:r w:rsidRPr="00B701D2">
        <w:rPr>
          <w:rFonts w:eastAsia="仿宋_GB2312"/>
          <w:sz w:val="32"/>
          <w:szCs w:val="32"/>
        </w:rPr>
        <w:t>MPA</w:t>
      </w:r>
      <w:r w:rsidRPr="00B701D2">
        <w:rPr>
          <w:rFonts w:eastAsia="仿宋_GB2312" w:hint="eastAsia"/>
          <w:sz w:val="32"/>
          <w:szCs w:val="32"/>
        </w:rPr>
        <w:t>肝肠循环的药物，例如消胆胺，抗生素，由于其可能会降低本品的血浆水平和有效性，也应慎用</w:t>
      </w:r>
      <w:r w:rsidRPr="00B701D2">
        <w:rPr>
          <w:rFonts w:eastAsia="仿宋_GB2312"/>
          <w:sz w:val="32"/>
          <w:szCs w:val="32"/>
        </w:rPr>
        <w:t>（见</w:t>
      </w:r>
      <w:r w:rsidRPr="00B701D2">
        <w:rPr>
          <w:rFonts w:eastAsia="仿宋_GB2312" w:hint="eastAsia"/>
          <w:sz w:val="32"/>
          <w:szCs w:val="32"/>
        </w:rPr>
        <w:t>【</w:t>
      </w:r>
      <w:r w:rsidRPr="00B701D2">
        <w:rPr>
          <w:rFonts w:eastAsia="仿宋_GB2312"/>
          <w:sz w:val="32"/>
          <w:szCs w:val="32"/>
        </w:rPr>
        <w:t>药物相互作用</w:t>
      </w:r>
      <w:r w:rsidRPr="00B701D2">
        <w:rPr>
          <w:rFonts w:eastAsia="仿宋_GB2312" w:hint="eastAsia"/>
          <w:sz w:val="32"/>
          <w:szCs w:val="32"/>
        </w:rPr>
        <w:t>】</w:t>
      </w:r>
      <w:r w:rsidRPr="00B701D2">
        <w:rPr>
          <w:rFonts w:eastAsia="仿宋_GB2312"/>
          <w:sz w:val="32"/>
          <w:szCs w:val="32"/>
        </w:rPr>
        <w:t>）</w:t>
      </w:r>
      <w:r w:rsidRPr="00B701D2">
        <w:rPr>
          <w:rFonts w:eastAsia="仿宋_GB2312" w:hint="eastAsia"/>
          <w:sz w:val="32"/>
          <w:szCs w:val="32"/>
        </w:rPr>
        <w:t>。</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不推荐本品和硫唑嘌呤联合使用，因为两者都可能引起骨髓抑制，联合给药没有进行临床研究。</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特殊人群用药</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严重慢性肾功能损伤的肾移植受者应避免使用大于</w:t>
      </w:r>
      <w:r w:rsidRPr="00B701D2">
        <w:rPr>
          <w:rFonts w:eastAsia="仿宋_GB2312"/>
          <w:sz w:val="32"/>
          <w:szCs w:val="32"/>
        </w:rPr>
        <w:t>1g bid</w:t>
      </w:r>
      <w:r w:rsidRPr="00B701D2">
        <w:rPr>
          <w:rFonts w:eastAsia="仿宋_GB2312"/>
          <w:sz w:val="32"/>
          <w:szCs w:val="32"/>
        </w:rPr>
        <w:t>的剂量，且需严密观察。</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出现移植物功能延迟的患者中并不需要进行剂量调整，但患者应被密切监测。没有严重肾功能衰竭的心脏或者肝脏移植受者数据。</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sz w:val="32"/>
          <w:szCs w:val="32"/>
        </w:rPr>
        <w:t>与年轻人相比，老年患者发生不良事件的风险更高</w:t>
      </w:r>
      <w:r w:rsidRPr="00B701D2">
        <w:rPr>
          <w:rFonts w:ascii="仿宋_GB2312" w:eastAsia="仿宋_GB2312" w:hAnsi="仿宋" w:hint="eastAsia"/>
          <w:sz w:val="32"/>
          <w:szCs w:val="32"/>
        </w:rPr>
        <w:t>，例如某些感染（包括巨细胞病毒组织侵袭性疾病），和可能的胃肠道出</w:t>
      </w:r>
      <w:r w:rsidRPr="00B701D2">
        <w:rPr>
          <w:rFonts w:ascii="仿宋_GB2312" w:eastAsia="仿宋_GB2312" w:hAnsi="仿宋" w:hint="eastAsia"/>
          <w:sz w:val="32"/>
          <w:szCs w:val="32"/>
        </w:rPr>
        <w:lastRenderedPageBreak/>
        <w:t>血和肺水肿</w:t>
      </w:r>
      <w:r w:rsidRPr="00B701D2">
        <w:rPr>
          <w:rFonts w:ascii="仿宋_GB2312" w:eastAsia="仿宋_GB2312" w:hAnsi="仿宋"/>
          <w:sz w:val="32"/>
          <w:szCs w:val="32"/>
        </w:rPr>
        <w:t>（见</w:t>
      </w:r>
      <w:r w:rsidRPr="00B701D2">
        <w:rPr>
          <w:rFonts w:ascii="仿宋_GB2312" w:eastAsia="仿宋_GB2312" w:hAnsi="仿宋" w:hint="eastAsia"/>
          <w:sz w:val="32"/>
          <w:szCs w:val="32"/>
        </w:rPr>
        <w:t>【</w:t>
      </w:r>
      <w:r w:rsidRPr="00B701D2">
        <w:rPr>
          <w:rFonts w:ascii="仿宋_GB2312" w:eastAsia="仿宋_GB2312" w:hAnsi="仿宋"/>
          <w:sz w:val="32"/>
          <w:szCs w:val="32"/>
        </w:rPr>
        <w:t>不良反应</w:t>
      </w:r>
      <w:r w:rsidRPr="00B701D2">
        <w:rPr>
          <w:rFonts w:ascii="仿宋_GB2312" w:eastAsia="仿宋_GB2312" w:hAnsi="仿宋" w:hint="eastAsia"/>
          <w:sz w:val="32"/>
          <w:szCs w:val="32"/>
        </w:rPr>
        <w:t>】</w:t>
      </w:r>
      <w:r w:rsidRPr="00B701D2">
        <w:rPr>
          <w:rFonts w:ascii="仿宋_GB2312" w:eastAsia="仿宋_GB2312" w:hAnsi="仿宋"/>
          <w:sz w:val="32"/>
          <w:szCs w:val="32"/>
        </w:rPr>
        <w:t>）。</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本品禁用于孕妇和哺乳期妇女（见【孕妇及哺乳期妇女用药】）。</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患者</w:t>
      </w:r>
      <w:r w:rsidRPr="00B701D2">
        <w:rPr>
          <w:rFonts w:ascii="楷体_GB2312" w:eastAsia="楷体_GB2312" w:hAnsi="仿宋" w:hint="eastAsia"/>
          <w:bCs/>
          <w:sz w:val="32"/>
          <w:szCs w:val="32"/>
        </w:rPr>
        <w:t>信息</w:t>
      </w:r>
    </w:p>
    <w:p w:rsidR="00D61E64" w:rsidRPr="00B701D2" w:rsidRDefault="00D61E64" w:rsidP="00D61E64">
      <w:pPr>
        <w:pStyle w:val="TextTi12"/>
        <w:numPr>
          <w:ilvl w:val="0"/>
          <w:numId w:val="1"/>
        </w:numPr>
        <w:tabs>
          <w:tab w:val="clear" w:pos="720"/>
          <w:tab w:val="num" w:pos="851"/>
        </w:tabs>
        <w:spacing w:after="0" w:line="600" w:lineRule="exact"/>
        <w:ind w:left="851"/>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为患者出示完整给药说明，同时告知患者淋巴增生性疾病和某些其他恶性肿瘤的风险可能增加。</w:t>
      </w:r>
    </w:p>
    <w:p w:rsidR="00D61E64" w:rsidRPr="00B701D2" w:rsidRDefault="00D61E64" w:rsidP="00D61E64">
      <w:pPr>
        <w:pStyle w:val="TextTi12"/>
        <w:widowControl w:val="0"/>
        <w:numPr>
          <w:ilvl w:val="0"/>
          <w:numId w:val="1"/>
        </w:numPr>
        <w:tabs>
          <w:tab w:val="clear" w:pos="720"/>
          <w:tab w:val="num" w:pos="851"/>
        </w:tabs>
        <w:spacing w:after="0" w:line="600" w:lineRule="exact"/>
        <w:ind w:left="850" w:hanging="357"/>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告知患者，在</w:t>
      </w:r>
      <w:r w:rsidRPr="00B701D2">
        <w:rPr>
          <w:rFonts w:ascii="仿宋_GB2312" w:eastAsia="仿宋_GB2312" w:hAnsi="仿宋" w:hint="eastAsia"/>
          <w:kern w:val="2"/>
          <w:sz w:val="32"/>
          <w:szCs w:val="32"/>
          <w:lang w:val="en-US" w:eastAsia="zh-CN"/>
        </w:rPr>
        <w:t>接受本品</w:t>
      </w:r>
      <w:r w:rsidRPr="00B701D2">
        <w:rPr>
          <w:rFonts w:ascii="仿宋_GB2312" w:eastAsia="仿宋_GB2312" w:hAnsi="仿宋"/>
          <w:kern w:val="2"/>
          <w:sz w:val="32"/>
          <w:szCs w:val="32"/>
          <w:lang w:val="en-US" w:eastAsia="zh-CN"/>
        </w:rPr>
        <w:t>治疗期间，需要患者反复接受实验室检验。</w:t>
      </w:r>
    </w:p>
    <w:p w:rsidR="00D61E64" w:rsidRPr="00B701D2" w:rsidRDefault="00D61E64" w:rsidP="00D61E64">
      <w:pPr>
        <w:pStyle w:val="TextTi12"/>
        <w:numPr>
          <w:ilvl w:val="0"/>
          <w:numId w:val="1"/>
        </w:numPr>
        <w:tabs>
          <w:tab w:val="clear" w:pos="720"/>
          <w:tab w:val="num" w:pos="851"/>
        </w:tabs>
        <w:spacing w:after="0" w:line="600" w:lineRule="exact"/>
        <w:ind w:left="851"/>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告知育龄妇女，当在怀孕期间使用</w:t>
      </w:r>
      <w:r w:rsidRPr="00B701D2">
        <w:rPr>
          <w:rFonts w:ascii="仿宋_GB2312" w:eastAsia="仿宋_GB2312" w:hAnsi="仿宋" w:hint="eastAsia"/>
          <w:kern w:val="2"/>
          <w:sz w:val="32"/>
          <w:szCs w:val="32"/>
          <w:lang w:val="en-US" w:eastAsia="zh-CN"/>
        </w:rPr>
        <w:t>本品</w:t>
      </w:r>
      <w:r w:rsidRPr="00B701D2">
        <w:rPr>
          <w:rFonts w:ascii="仿宋_GB2312" w:eastAsia="仿宋_GB2312" w:hAnsi="仿宋"/>
          <w:kern w:val="2"/>
          <w:sz w:val="32"/>
          <w:szCs w:val="32"/>
          <w:lang w:val="en-US" w:eastAsia="zh-CN"/>
        </w:rPr>
        <w:t>时，可</w:t>
      </w:r>
      <w:r w:rsidRPr="00B701D2">
        <w:rPr>
          <w:rFonts w:eastAsia="仿宋_GB2312"/>
          <w:kern w:val="2"/>
          <w:sz w:val="32"/>
          <w:szCs w:val="32"/>
          <w:lang w:val="en-US" w:eastAsia="zh-CN"/>
        </w:rPr>
        <w:t>能在前</w:t>
      </w:r>
      <w:r w:rsidRPr="00B701D2">
        <w:rPr>
          <w:rFonts w:eastAsia="仿宋_GB2312"/>
          <w:kern w:val="2"/>
          <w:sz w:val="32"/>
          <w:szCs w:val="32"/>
          <w:lang w:val="en-US" w:eastAsia="zh-CN"/>
        </w:rPr>
        <w:t>3</w:t>
      </w:r>
      <w:r w:rsidRPr="00B701D2">
        <w:rPr>
          <w:rFonts w:eastAsia="仿宋_GB2312"/>
          <w:kern w:val="2"/>
          <w:sz w:val="32"/>
          <w:szCs w:val="32"/>
          <w:lang w:val="en-US" w:eastAsia="zh-CN"/>
        </w:rPr>
        <w:t>个月内增加流产风险，还增加出生缺陷风险，他们必须采</w:t>
      </w:r>
      <w:r w:rsidRPr="00B701D2">
        <w:rPr>
          <w:rFonts w:ascii="仿宋_GB2312" w:eastAsia="仿宋_GB2312" w:hAnsi="仿宋"/>
          <w:kern w:val="2"/>
          <w:sz w:val="32"/>
          <w:szCs w:val="32"/>
          <w:lang w:val="en-US" w:eastAsia="zh-CN"/>
        </w:rPr>
        <w:t>取有效避孕措施。</w:t>
      </w:r>
    </w:p>
    <w:p w:rsidR="00D61E64" w:rsidRPr="00B701D2" w:rsidRDefault="00D61E64" w:rsidP="00D61E64">
      <w:pPr>
        <w:pStyle w:val="TextTi12"/>
        <w:numPr>
          <w:ilvl w:val="0"/>
          <w:numId w:val="1"/>
        </w:numPr>
        <w:tabs>
          <w:tab w:val="clear" w:pos="720"/>
          <w:tab w:val="num" w:pos="851"/>
        </w:tabs>
        <w:spacing w:after="0" w:line="600" w:lineRule="exact"/>
        <w:ind w:left="851"/>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与育龄女性患者商讨怀孕计划。</w:t>
      </w:r>
    </w:p>
    <w:p w:rsidR="00D61E64" w:rsidRPr="00B701D2" w:rsidRDefault="00D61E64" w:rsidP="00D61E64">
      <w:pPr>
        <w:pStyle w:val="TextTi12"/>
        <w:numPr>
          <w:ilvl w:val="1"/>
          <w:numId w:val="2"/>
        </w:numPr>
        <w:tabs>
          <w:tab w:val="clear" w:pos="1440"/>
          <w:tab w:val="num" w:pos="1276"/>
        </w:tabs>
        <w:spacing w:after="0" w:line="600" w:lineRule="exact"/>
        <w:ind w:left="1276"/>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在开始接</w:t>
      </w:r>
      <w:r w:rsidRPr="00B701D2">
        <w:rPr>
          <w:rFonts w:eastAsia="仿宋_GB2312"/>
          <w:kern w:val="2"/>
          <w:sz w:val="32"/>
          <w:szCs w:val="32"/>
          <w:lang w:val="en-US" w:eastAsia="zh-CN"/>
        </w:rPr>
        <w:t>受本品前</w:t>
      </w:r>
      <w:r w:rsidRPr="00B701D2">
        <w:rPr>
          <w:rFonts w:eastAsia="仿宋_GB2312"/>
          <w:kern w:val="2"/>
          <w:sz w:val="32"/>
          <w:szCs w:val="32"/>
          <w:lang w:val="en-US" w:eastAsia="zh-CN"/>
        </w:rPr>
        <w:t>4</w:t>
      </w:r>
      <w:r w:rsidRPr="00B701D2">
        <w:rPr>
          <w:rFonts w:eastAsia="仿宋_GB2312"/>
          <w:kern w:val="2"/>
          <w:sz w:val="32"/>
          <w:szCs w:val="32"/>
          <w:lang w:val="en-US" w:eastAsia="zh-CN"/>
        </w:rPr>
        <w:t>周内，育龄妇女必须采取高效避孕措施（同时采取两种措施），当本品停止治疗后</w:t>
      </w:r>
      <w:r w:rsidRPr="00B701D2">
        <w:rPr>
          <w:rFonts w:eastAsia="仿宋_GB2312"/>
          <w:kern w:val="2"/>
          <w:sz w:val="32"/>
          <w:szCs w:val="32"/>
          <w:lang w:val="en-US" w:eastAsia="zh-CN"/>
        </w:rPr>
        <w:t>6</w:t>
      </w:r>
      <w:r w:rsidRPr="00B701D2">
        <w:rPr>
          <w:rFonts w:eastAsia="仿宋_GB2312"/>
          <w:kern w:val="2"/>
          <w:sz w:val="32"/>
          <w:szCs w:val="32"/>
          <w:lang w:val="en-US" w:eastAsia="zh-CN"/>
        </w:rPr>
        <w:t>周内，还必须继续采取避孕措施（见【孕妇及哺</w:t>
      </w:r>
      <w:r w:rsidRPr="00B701D2">
        <w:rPr>
          <w:rFonts w:ascii="仿宋_GB2312" w:eastAsia="仿宋_GB2312" w:hAnsi="仿宋"/>
          <w:kern w:val="2"/>
          <w:sz w:val="32"/>
          <w:szCs w:val="32"/>
          <w:lang w:val="en-US" w:eastAsia="zh-CN"/>
        </w:rPr>
        <w:t>乳期妇女用药】）。</w:t>
      </w:r>
    </w:p>
    <w:p w:rsidR="00D61E64" w:rsidRPr="00B701D2" w:rsidRDefault="00D61E64" w:rsidP="00D61E64">
      <w:pPr>
        <w:pStyle w:val="TextTi12"/>
        <w:numPr>
          <w:ilvl w:val="1"/>
          <w:numId w:val="2"/>
        </w:numPr>
        <w:tabs>
          <w:tab w:val="clear" w:pos="1440"/>
          <w:tab w:val="num" w:pos="1276"/>
        </w:tabs>
        <w:spacing w:after="0" w:line="600" w:lineRule="exact"/>
        <w:ind w:left="1276"/>
        <w:rPr>
          <w:rFonts w:ascii="仿宋_GB2312" w:eastAsia="仿宋_GB2312" w:hAnsi="仿宋"/>
          <w:kern w:val="2"/>
          <w:sz w:val="32"/>
          <w:szCs w:val="32"/>
          <w:lang w:val="en-US" w:eastAsia="zh-CN"/>
        </w:rPr>
      </w:pPr>
      <w:r w:rsidRPr="00B701D2">
        <w:rPr>
          <w:rFonts w:ascii="仿宋_GB2312" w:eastAsia="仿宋_GB2312" w:hAnsi="仿宋"/>
          <w:kern w:val="2"/>
          <w:sz w:val="32"/>
          <w:szCs w:val="32"/>
          <w:lang w:val="en-US" w:eastAsia="zh-CN"/>
        </w:rPr>
        <w:t>计划怀孕患者不应接受</w:t>
      </w:r>
      <w:r w:rsidRPr="00B701D2">
        <w:rPr>
          <w:rFonts w:ascii="仿宋_GB2312" w:eastAsia="仿宋_GB2312" w:hAnsi="仿宋" w:hint="eastAsia"/>
          <w:kern w:val="2"/>
          <w:sz w:val="32"/>
          <w:szCs w:val="32"/>
          <w:lang w:val="en-US" w:eastAsia="zh-CN"/>
        </w:rPr>
        <w:t>本品</w:t>
      </w:r>
      <w:r w:rsidRPr="00B701D2">
        <w:rPr>
          <w:rFonts w:ascii="仿宋_GB2312" w:eastAsia="仿宋_GB2312" w:hAnsi="仿宋"/>
          <w:kern w:val="2"/>
          <w:sz w:val="32"/>
          <w:szCs w:val="32"/>
          <w:lang w:val="en-US" w:eastAsia="zh-CN"/>
        </w:rPr>
        <w:t>治疗，除非采用其他免疫抑制剂不能成功治疗。</w:t>
      </w:r>
    </w:p>
    <w:p w:rsidR="00D61E64" w:rsidRPr="00B701D2" w:rsidRDefault="00D61E64" w:rsidP="00D61E64">
      <w:pPr>
        <w:spacing w:line="600" w:lineRule="exact"/>
        <w:ind w:firstLineChars="200" w:firstLine="640"/>
        <w:rPr>
          <w:rFonts w:ascii="楷体_GB2312" w:eastAsia="楷体_GB2312" w:hAnsi="仿宋"/>
          <w:bCs/>
          <w:sz w:val="32"/>
          <w:szCs w:val="32"/>
        </w:rPr>
      </w:pPr>
      <w:r w:rsidRPr="00B701D2">
        <w:rPr>
          <w:rFonts w:ascii="楷体_GB2312" w:eastAsia="楷体_GB2312" w:hAnsi="仿宋" w:hint="eastAsia"/>
          <w:bCs/>
          <w:sz w:val="32"/>
          <w:szCs w:val="32"/>
        </w:rPr>
        <w:t>实验室检验</w:t>
      </w:r>
    </w:p>
    <w:p w:rsidR="00D61E64" w:rsidRPr="00B701D2" w:rsidRDefault="00D61E64" w:rsidP="00D61E64">
      <w:pPr>
        <w:spacing w:line="600" w:lineRule="exact"/>
        <w:ind w:firstLineChars="200" w:firstLine="640"/>
        <w:rPr>
          <w:rFonts w:ascii="仿宋_GB2312" w:eastAsia="仿宋_GB2312" w:hAnsi="仿宋"/>
          <w:sz w:val="32"/>
          <w:szCs w:val="32"/>
        </w:rPr>
      </w:pPr>
      <w:r w:rsidRPr="00B701D2">
        <w:rPr>
          <w:rFonts w:ascii="仿宋_GB2312" w:eastAsia="仿宋_GB2312" w:hAnsi="仿宋" w:hint="eastAsia"/>
          <w:sz w:val="32"/>
          <w:szCs w:val="32"/>
        </w:rPr>
        <w:t>在治疗的第一个月，应每周完成一次全血细胞计数，在治疗的第二个月和第三个月内，应每月完成两次检验，然后至一年时每月完成一次检验。</w:t>
      </w:r>
    </w:p>
    <w:p w:rsidR="00D61E64" w:rsidRPr="00A2557F" w:rsidRDefault="00D61E64" w:rsidP="00D61E64">
      <w:pPr>
        <w:spacing w:line="600" w:lineRule="exact"/>
        <w:ind w:firstLineChars="200" w:firstLine="640"/>
        <w:jc w:val="left"/>
        <w:rPr>
          <w:rFonts w:ascii="黑体" w:eastAsia="黑体" w:hAnsi="黑体"/>
          <w:sz w:val="32"/>
          <w:szCs w:val="32"/>
        </w:rPr>
      </w:pPr>
      <w:r w:rsidRPr="00A2557F">
        <w:rPr>
          <w:rFonts w:ascii="黑体" w:eastAsia="黑体" w:hAnsi="黑体" w:hint="eastAsia"/>
          <w:sz w:val="32"/>
          <w:szCs w:val="32"/>
        </w:rPr>
        <w:lastRenderedPageBreak/>
        <w:t>五、</w:t>
      </w:r>
      <w:r w:rsidRPr="00A2557F">
        <w:rPr>
          <w:rFonts w:ascii="黑体" w:eastAsia="黑体" w:hAnsi="黑体"/>
          <w:b/>
          <w:sz w:val="32"/>
          <w:szCs w:val="32"/>
        </w:rPr>
        <w:t>【</w:t>
      </w:r>
      <w:r w:rsidRPr="00A2557F">
        <w:rPr>
          <w:rFonts w:ascii="黑体" w:eastAsia="黑体" w:hAnsi="黑体"/>
          <w:sz w:val="32"/>
          <w:szCs w:val="32"/>
        </w:rPr>
        <w:t>孕妇及哺乳期妇女用药</w:t>
      </w:r>
      <w:r w:rsidRPr="00A2557F">
        <w:rPr>
          <w:rFonts w:ascii="黑体" w:eastAsia="黑体" w:hAnsi="黑体"/>
          <w:b/>
          <w:sz w:val="32"/>
          <w:szCs w:val="32"/>
        </w:rPr>
        <w:t>】</w:t>
      </w:r>
      <w:r w:rsidRPr="00A2557F">
        <w:rPr>
          <w:rFonts w:ascii="黑体" w:eastAsia="黑体" w:hAnsi="黑体" w:hint="eastAsia"/>
          <w:sz w:val="32"/>
          <w:szCs w:val="32"/>
        </w:rPr>
        <w:t>项应包括：</w:t>
      </w:r>
    </w:p>
    <w:p w:rsidR="00D61E64" w:rsidRPr="00B701D2" w:rsidRDefault="00D61E64" w:rsidP="00D61E64">
      <w:pPr>
        <w:spacing w:line="600" w:lineRule="exact"/>
        <w:ind w:firstLineChars="200" w:firstLine="640"/>
        <w:rPr>
          <w:rFonts w:eastAsia="楷体_GB2312"/>
          <w:bCs/>
          <w:sz w:val="32"/>
          <w:szCs w:val="32"/>
        </w:rPr>
      </w:pPr>
      <w:r w:rsidRPr="00B701D2">
        <w:rPr>
          <w:rFonts w:eastAsia="楷体_GB2312" w:hint="eastAsia"/>
          <w:bCs/>
          <w:sz w:val="32"/>
          <w:szCs w:val="32"/>
        </w:rPr>
        <w:t>致畸效应：妊娠分类</w:t>
      </w:r>
      <w:r w:rsidRPr="00B701D2">
        <w:rPr>
          <w:rFonts w:eastAsia="楷体_GB2312"/>
          <w:bCs/>
          <w:sz w:val="32"/>
          <w:szCs w:val="32"/>
        </w:rPr>
        <w:t>D</w:t>
      </w:r>
      <w:r w:rsidRPr="00B701D2">
        <w:rPr>
          <w:rFonts w:eastAsia="楷体_GB2312" w:hint="eastAsia"/>
          <w:bCs/>
          <w:sz w:val="32"/>
          <w:szCs w:val="32"/>
        </w:rPr>
        <w:t>（</w:t>
      </w:r>
      <w:r w:rsidRPr="00B701D2">
        <w:rPr>
          <w:rFonts w:eastAsia="楷体_GB2312"/>
          <w:bCs/>
          <w:sz w:val="32"/>
          <w:szCs w:val="32"/>
        </w:rPr>
        <w:t>FDA</w:t>
      </w:r>
      <w:r w:rsidRPr="00B701D2">
        <w:rPr>
          <w:rFonts w:eastAsia="楷体_GB2312" w:hint="eastAsia"/>
          <w:bCs/>
          <w:sz w:val="32"/>
          <w:szCs w:val="32"/>
        </w:rPr>
        <w:t>分类）</w:t>
      </w:r>
    </w:p>
    <w:p w:rsidR="00D61E64" w:rsidRPr="00B701D2" w:rsidRDefault="00D61E64" w:rsidP="00D61E64">
      <w:pPr>
        <w:spacing w:line="600" w:lineRule="exact"/>
        <w:ind w:firstLineChars="200" w:firstLine="640"/>
        <w:jc w:val="left"/>
        <w:rPr>
          <w:rFonts w:eastAsia="仿宋_GB2312"/>
          <w:sz w:val="32"/>
          <w:szCs w:val="32"/>
        </w:rPr>
      </w:pPr>
      <w:r w:rsidRPr="00B701D2">
        <w:rPr>
          <w:rFonts w:eastAsia="仿宋_GB2312" w:hint="eastAsia"/>
          <w:sz w:val="32"/>
          <w:szCs w:val="32"/>
        </w:rPr>
        <w:t>动物研究表明本品具有生殖毒性。在动物生殖毒理学研究中，当无母体毒性情况下，胎儿吸收和畸形的发生率升高。根据体表面积转换，雌性大鼠和雌性兔子接受的本品剂量相当于肾移植和心脏移植受者所接受人用剂量的</w:t>
      </w:r>
      <w:r w:rsidRPr="00B701D2">
        <w:rPr>
          <w:rFonts w:eastAsia="仿宋_GB2312"/>
          <w:sz w:val="32"/>
          <w:szCs w:val="32"/>
        </w:rPr>
        <w:t>0.02</w:t>
      </w:r>
      <w:r>
        <w:rPr>
          <w:rFonts w:eastAsia="仿宋_GB2312" w:hint="eastAsia"/>
          <w:sz w:val="32"/>
          <w:szCs w:val="32"/>
        </w:rPr>
        <w:t>—</w:t>
      </w:r>
      <w:r w:rsidRPr="00B701D2">
        <w:rPr>
          <w:rFonts w:eastAsia="仿宋_GB2312"/>
          <w:sz w:val="32"/>
          <w:szCs w:val="32"/>
        </w:rPr>
        <w:t>0.9</w:t>
      </w:r>
      <w:r w:rsidRPr="00B701D2">
        <w:rPr>
          <w:rFonts w:eastAsia="仿宋_GB2312"/>
          <w:sz w:val="32"/>
          <w:szCs w:val="32"/>
        </w:rPr>
        <w:t>倍。在大鼠子代中发生的畸形包括无眼、无下颌和脑积水。在兔子子代中发生的畸形包括心脏异位、肾脏异位、膈疝和脐疝。</w:t>
      </w:r>
    </w:p>
    <w:p w:rsidR="00D61E64" w:rsidRPr="00B701D2" w:rsidRDefault="00D61E64" w:rsidP="00D61E64">
      <w:pPr>
        <w:spacing w:line="600" w:lineRule="exact"/>
        <w:ind w:firstLineChars="200" w:firstLine="640"/>
        <w:jc w:val="left"/>
        <w:rPr>
          <w:rFonts w:eastAsia="仿宋_GB2312"/>
          <w:kern w:val="0"/>
          <w:sz w:val="32"/>
          <w:szCs w:val="32"/>
          <w:lang w:eastAsia="de-DE"/>
        </w:rPr>
      </w:pPr>
      <w:r w:rsidRPr="00B701D2">
        <w:rPr>
          <w:rFonts w:eastAsia="仿宋_GB2312" w:hint="eastAsia"/>
          <w:kern w:val="0"/>
          <w:sz w:val="32"/>
          <w:szCs w:val="32"/>
          <w:lang w:eastAsia="de-DE"/>
        </w:rPr>
        <w:t>本品禁止用于孕妇和未使用高效避孕方法的育龄期妇女（见【禁忌】）。</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具有生育能力的患者在开始使用本品治疗前，必须充分知悉本品会增加流产和先天性畸形的风险，必须向医生咨询关于避孕和怀孕的建议。</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具有生育能力的女性患者在开始使用本品治疗之前，必须有两次血清或尿液妊娠试验检测阴性结果，且灵敏度至少为</w:t>
      </w:r>
      <w:r w:rsidRPr="00B701D2">
        <w:rPr>
          <w:rFonts w:eastAsia="仿宋_GB2312"/>
          <w:kern w:val="0"/>
          <w:sz w:val="32"/>
          <w:szCs w:val="32"/>
        </w:rPr>
        <w:t>25mlU/mL</w:t>
      </w:r>
      <w:r w:rsidRPr="00B701D2">
        <w:rPr>
          <w:rFonts w:eastAsia="仿宋_GB2312" w:hint="eastAsia"/>
          <w:kern w:val="0"/>
          <w:sz w:val="32"/>
          <w:szCs w:val="32"/>
        </w:rPr>
        <w:t>；第二次检测应在首次检测后</w:t>
      </w:r>
      <w:r w:rsidRPr="00B701D2">
        <w:rPr>
          <w:rFonts w:eastAsia="仿宋_GB2312"/>
          <w:kern w:val="0"/>
          <w:sz w:val="32"/>
          <w:szCs w:val="32"/>
        </w:rPr>
        <w:t>8</w:t>
      </w:r>
      <w:r>
        <w:rPr>
          <w:rFonts w:eastAsia="仿宋_GB2312" w:hint="eastAsia"/>
          <w:kern w:val="0"/>
          <w:sz w:val="32"/>
          <w:szCs w:val="32"/>
        </w:rPr>
        <w:t>—</w:t>
      </w:r>
      <w:r w:rsidRPr="00B701D2">
        <w:rPr>
          <w:rFonts w:eastAsia="仿宋_GB2312"/>
          <w:kern w:val="0"/>
          <w:sz w:val="32"/>
          <w:szCs w:val="32"/>
        </w:rPr>
        <w:t>10</w:t>
      </w:r>
      <w:r w:rsidRPr="00B701D2">
        <w:rPr>
          <w:rFonts w:eastAsia="仿宋_GB2312" w:hint="eastAsia"/>
          <w:kern w:val="0"/>
          <w:sz w:val="32"/>
          <w:szCs w:val="32"/>
        </w:rPr>
        <w:t>天，且于即将开始使用本品治疗之前进行。患者在以后的常规随访过程中，应重复进行妊娠试验检测。医生应就所有妊娠试验结果与患者进行讨论。患者应充分知悉，怀孕后需立即咨询医生。</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由于本品具有致突变和致畸的可能性，建议有生育能力的女性患者在开始使用本品治疗之前，治疗期间及治疗终止后</w:t>
      </w:r>
      <w:r w:rsidRPr="00B701D2">
        <w:rPr>
          <w:rFonts w:eastAsia="仿宋_GB2312"/>
          <w:kern w:val="0"/>
          <w:sz w:val="32"/>
          <w:szCs w:val="32"/>
        </w:rPr>
        <w:t>6</w:t>
      </w:r>
      <w:r w:rsidRPr="00B701D2">
        <w:rPr>
          <w:rFonts w:eastAsia="仿宋_GB2312" w:hint="eastAsia"/>
          <w:kern w:val="0"/>
          <w:sz w:val="32"/>
          <w:szCs w:val="32"/>
        </w:rPr>
        <w:t>周内，应同时采用两种可靠的避孕措施，至少包含一种高效方法，或是</w:t>
      </w:r>
      <w:r w:rsidRPr="00B701D2">
        <w:rPr>
          <w:rFonts w:eastAsia="仿宋_GB2312" w:hint="eastAsia"/>
          <w:kern w:val="0"/>
          <w:sz w:val="32"/>
          <w:szCs w:val="32"/>
        </w:rPr>
        <w:lastRenderedPageBreak/>
        <w:t>选择禁欲作为避孕措施。这也包括有不育症病史的患者，已行子宫切除术的患者无需避孕。建议性活跃的男性患者在治疗期间及治疗终止后至少</w:t>
      </w:r>
      <w:r w:rsidRPr="00B701D2">
        <w:rPr>
          <w:rFonts w:eastAsia="仿宋_GB2312"/>
          <w:kern w:val="0"/>
          <w:sz w:val="32"/>
          <w:szCs w:val="32"/>
        </w:rPr>
        <w:t>90</w:t>
      </w:r>
      <w:r w:rsidRPr="00B701D2">
        <w:rPr>
          <w:rFonts w:eastAsia="仿宋_GB2312" w:hint="eastAsia"/>
          <w:kern w:val="0"/>
          <w:sz w:val="32"/>
          <w:szCs w:val="32"/>
        </w:rPr>
        <w:t>天内使用避孕套进行避孕。避孕套既适用于具有生殖能力的男性患者，也适用于输精管结扎术后的男性患者，因为输精管结扎术后的男性患者也可能存在致孕的相关风险。此外，建议男性患者的女性伴侣在其治疗期间及最后一剂本品给药后至少</w:t>
      </w:r>
      <w:r w:rsidRPr="00B701D2">
        <w:rPr>
          <w:rFonts w:eastAsia="仿宋_GB2312"/>
          <w:kern w:val="0"/>
          <w:sz w:val="32"/>
          <w:szCs w:val="32"/>
        </w:rPr>
        <w:t>90</w:t>
      </w:r>
      <w:r w:rsidRPr="00B701D2">
        <w:rPr>
          <w:rFonts w:eastAsia="仿宋_GB2312" w:hint="eastAsia"/>
          <w:kern w:val="0"/>
          <w:sz w:val="32"/>
          <w:szCs w:val="32"/>
        </w:rPr>
        <w:t>天内采取高效的避孕方法。</w:t>
      </w:r>
    </w:p>
    <w:p w:rsidR="00D61E64" w:rsidRPr="00B701D2" w:rsidRDefault="00D61E64" w:rsidP="00D61E64">
      <w:pPr>
        <w:spacing w:line="600" w:lineRule="exact"/>
        <w:ind w:firstLineChars="200" w:firstLine="640"/>
        <w:rPr>
          <w:rFonts w:eastAsia="仿宋_GB2312"/>
          <w:kern w:val="0"/>
          <w:sz w:val="32"/>
          <w:szCs w:val="32"/>
        </w:rPr>
      </w:pPr>
      <w:r w:rsidRPr="00B701D2">
        <w:rPr>
          <w:rFonts w:eastAsia="仿宋_GB2312" w:hint="eastAsia"/>
          <w:kern w:val="0"/>
          <w:sz w:val="32"/>
          <w:szCs w:val="32"/>
        </w:rPr>
        <w:t>上市后已经报道了妊娠期内接受吗替麦考酚酯和其他免疫抑制剂联合治疗的患者的子女中，出现先天性畸形，包括多发畸形的情况。</w:t>
      </w:r>
    </w:p>
    <w:p w:rsidR="00D61E64" w:rsidRPr="00B701D2" w:rsidRDefault="00D61E64" w:rsidP="00D61E64">
      <w:pPr>
        <w:spacing w:line="600" w:lineRule="exact"/>
        <w:ind w:firstLineChars="200" w:firstLine="640"/>
        <w:rPr>
          <w:rFonts w:eastAsia="仿宋_GB2312"/>
          <w:kern w:val="0"/>
          <w:sz w:val="32"/>
          <w:szCs w:val="32"/>
        </w:rPr>
      </w:pPr>
      <w:r w:rsidRPr="00B701D2">
        <w:rPr>
          <w:rFonts w:eastAsia="仿宋_GB2312" w:hint="eastAsia"/>
          <w:kern w:val="0"/>
          <w:sz w:val="32"/>
          <w:szCs w:val="32"/>
        </w:rPr>
        <w:t>最常报道的畸形相关的不良事件，如下所述：</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面部畸形（例如唇裂、上腭裂、小颌畸形和眼距增宽）</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耳部异常（例如外耳</w:t>
      </w:r>
      <w:r w:rsidRPr="00B701D2">
        <w:rPr>
          <w:rFonts w:eastAsia="仿宋_GB2312"/>
          <w:kern w:val="0"/>
          <w:sz w:val="32"/>
          <w:szCs w:val="32"/>
        </w:rPr>
        <w:t>/</w:t>
      </w:r>
      <w:r w:rsidRPr="00B701D2">
        <w:rPr>
          <w:rFonts w:eastAsia="仿宋_GB2312" w:hint="eastAsia"/>
          <w:kern w:val="0"/>
          <w:sz w:val="32"/>
          <w:szCs w:val="32"/>
        </w:rPr>
        <w:t>中耳发育异常或缺如）和眼部异常（例如眼组织缺损、小眼症）</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手指畸形（例如多指畸形、并指、短指）</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心脏畸形（例如房间隔缺损、室间隔缺损）</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食管畸形（例如食管闭锁）</w:t>
      </w:r>
    </w:p>
    <w:p w:rsidR="00D61E64" w:rsidRPr="00B701D2" w:rsidRDefault="00D61E64" w:rsidP="00D61E64">
      <w:pPr>
        <w:widowControl/>
        <w:spacing w:line="600" w:lineRule="exact"/>
        <w:ind w:leftChars="200" w:left="1060" w:hangingChars="200" w:hanging="640"/>
        <w:rPr>
          <w:rFonts w:eastAsia="仿宋_GB2312"/>
          <w:kern w:val="0"/>
          <w:sz w:val="32"/>
          <w:szCs w:val="32"/>
        </w:rPr>
      </w:pPr>
      <w:r w:rsidRPr="00B701D2">
        <w:rPr>
          <w:rFonts w:hint="eastAsia"/>
          <w:kern w:val="0"/>
          <w:sz w:val="32"/>
          <w:szCs w:val="32"/>
        </w:rPr>
        <w:t>•</w:t>
      </w:r>
      <w:r w:rsidRPr="00B701D2">
        <w:rPr>
          <w:rFonts w:eastAsia="仿宋_GB2312"/>
          <w:kern w:val="0"/>
          <w:sz w:val="32"/>
          <w:szCs w:val="32"/>
        </w:rPr>
        <w:tab/>
      </w:r>
      <w:r w:rsidRPr="00B701D2">
        <w:rPr>
          <w:rFonts w:eastAsia="仿宋_GB2312" w:hint="eastAsia"/>
          <w:kern w:val="0"/>
          <w:sz w:val="32"/>
          <w:szCs w:val="32"/>
        </w:rPr>
        <w:t>神经系统畸形（例如脊柱裂）</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根据医学文献报道，在使用吗替麦考酚酯治疗的妊娠患者中，活产胎儿畸形率为</w:t>
      </w:r>
      <w:r w:rsidRPr="00B701D2">
        <w:rPr>
          <w:rFonts w:eastAsia="仿宋_GB2312"/>
          <w:kern w:val="0"/>
          <w:sz w:val="32"/>
          <w:szCs w:val="32"/>
        </w:rPr>
        <w:t>23%</w:t>
      </w:r>
      <w:r>
        <w:rPr>
          <w:rFonts w:eastAsia="仿宋_GB2312" w:hint="eastAsia"/>
          <w:kern w:val="0"/>
          <w:sz w:val="32"/>
          <w:szCs w:val="32"/>
        </w:rPr>
        <w:t>—</w:t>
      </w:r>
      <w:r w:rsidRPr="00B701D2">
        <w:rPr>
          <w:rFonts w:eastAsia="仿宋_GB2312"/>
          <w:kern w:val="0"/>
          <w:sz w:val="32"/>
          <w:szCs w:val="32"/>
        </w:rPr>
        <w:t>27%</w:t>
      </w:r>
      <w:r w:rsidRPr="00B701D2">
        <w:rPr>
          <w:rFonts w:eastAsia="仿宋_GB2312" w:hint="eastAsia"/>
          <w:kern w:val="0"/>
          <w:sz w:val="32"/>
          <w:szCs w:val="32"/>
        </w:rPr>
        <w:t>；而在总人群中，活产胎儿畸形率为</w:t>
      </w:r>
      <w:r w:rsidRPr="00B701D2">
        <w:rPr>
          <w:rFonts w:eastAsia="仿宋_GB2312"/>
          <w:kern w:val="0"/>
          <w:sz w:val="32"/>
          <w:szCs w:val="32"/>
        </w:rPr>
        <w:t>2%</w:t>
      </w:r>
      <w:r w:rsidRPr="00B701D2">
        <w:rPr>
          <w:rFonts w:eastAsia="仿宋_GB2312" w:hint="eastAsia"/>
          <w:kern w:val="0"/>
          <w:sz w:val="32"/>
          <w:szCs w:val="32"/>
        </w:rPr>
        <w:t>；在使用其他免疫抑制剂治疗的实体器官移植受者中，活产胎儿畸形率约为</w:t>
      </w:r>
      <w:r w:rsidRPr="00B701D2">
        <w:rPr>
          <w:rFonts w:eastAsia="仿宋_GB2312"/>
          <w:kern w:val="0"/>
          <w:sz w:val="32"/>
          <w:szCs w:val="32"/>
        </w:rPr>
        <w:t>4%</w:t>
      </w:r>
      <w:r>
        <w:rPr>
          <w:rFonts w:eastAsia="仿宋_GB2312" w:hint="eastAsia"/>
          <w:kern w:val="0"/>
          <w:sz w:val="32"/>
          <w:szCs w:val="32"/>
        </w:rPr>
        <w:t>—</w:t>
      </w:r>
      <w:r w:rsidRPr="00B701D2">
        <w:rPr>
          <w:rFonts w:eastAsia="仿宋_GB2312"/>
          <w:kern w:val="0"/>
          <w:sz w:val="32"/>
          <w:szCs w:val="32"/>
        </w:rPr>
        <w:t>5%</w:t>
      </w:r>
      <w:r w:rsidRPr="00B701D2">
        <w:rPr>
          <w:rFonts w:eastAsia="仿宋_GB2312" w:hint="eastAsia"/>
          <w:kern w:val="0"/>
          <w:sz w:val="32"/>
          <w:szCs w:val="32"/>
        </w:rPr>
        <w:t>。</w:t>
      </w:r>
    </w:p>
    <w:p w:rsidR="00D61E64" w:rsidRPr="00B701D2" w:rsidRDefault="00D61E64" w:rsidP="00D61E64">
      <w:pPr>
        <w:widowControl/>
        <w:spacing w:line="620" w:lineRule="exact"/>
        <w:ind w:firstLineChars="200" w:firstLine="640"/>
        <w:rPr>
          <w:rFonts w:eastAsia="仿宋_GB2312"/>
          <w:kern w:val="0"/>
          <w:sz w:val="32"/>
          <w:szCs w:val="32"/>
        </w:rPr>
      </w:pPr>
      <w:r w:rsidRPr="00B701D2">
        <w:rPr>
          <w:rFonts w:eastAsia="仿宋_GB2312" w:hint="eastAsia"/>
          <w:kern w:val="0"/>
          <w:sz w:val="32"/>
          <w:szCs w:val="32"/>
        </w:rPr>
        <w:lastRenderedPageBreak/>
        <w:t>在暴露于吗替麦考酚酯的患者（主要是妊娠早期）中有关于自然流产事件的报道</w:t>
      </w:r>
      <w:r w:rsidRPr="00B701D2">
        <w:rPr>
          <w:rFonts w:eastAsia="仿宋_GB2312" w:hint="eastAsia"/>
          <w:b/>
          <w:bCs/>
          <w:kern w:val="0"/>
          <w:sz w:val="32"/>
          <w:szCs w:val="32"/>
        </w:rPr>
        <w:t>（见上市后经验）</w:t>
      </w:r>
      <w:r w:rsidRPr="00B701D2">
        <w:rPr>
          <w:rFonts w:eastAsia="仿宋_GB2312" w:hint="eastAsia"/>
          <w:kern w:val="0"/>
          <w:sz w:val="32"/>
          <w:szCs w:val="32"/>
        </w:rPr>
        <w:t>。</w:t>
      </w:r>
    </w:p>
    <w:p w:rsidR="00D61E64" w:rsidRPr="00B701D2" w:rsidRDefault="00D61E64" w:rsidP="00D61E64">
      <w:pPr>
        <w:spacing w:line="620" w:lineRule="exact"/>
        <w:ind w:firstLineChars="200" w:firstLine="640"/>
        <w:rPr>
          <w:rFonts w:eastAsia="仿宋_GB2312"/>
          <w:kern w:val="0"/>
          <w:sz w:val="32"/>
          <w:szCs w:val="32"/>
        </w:rPr>
      </w:pPr>
      <w:r w:rsidRPr="00B701D2">
        <w:rPr>
          <w:rFonts w:eastAsia="仿宋_GB2312" w:hint="eastAsia"/>
          <w:kern w:val="0"/>
          <w:sz w:val="32"/>
          <w:szCs w:val="32"/>
        </w:rPr>
        <w:t>根据医学文献报道，在使用吗替麦考酚酯治疗的妊娠患者中，自然流产的报告率为</w:t>
      </w:r>
      <w:r w:rsidRPr="00B701D2">
        <w:rPr>
          <w:rFonts w:eastAsia="仿宋_GB2312"/>
          <w:kern w:val="0"/>
          <w:sz w:val="32"/>
          <w:szCs w:val="32"/>
        </w:rPr>
        <w:t>45%</w:t>
      </w:r>
      <w:r>
        <w:rPr>
          <w:rFonts w:eastAsia="仿宋_GB2312" w:hint="eastAsia"/>
          <w:kern w:val="0"/>
          <w:sz w:val="32"/>
          <w:szCs w:val="32"/>
        </w:rPr>
        <w:t>—</w:t>
      </w:r>
      <w:r w:rsidRPr="00B701D2">
        <w:rPr>
          <w:rFonts w:eastAsia="仿宋_GB2312"/>
          <w:kern w:val="0"/>
          <w:sz w:val="32"/>
          <w:szCs w:val="32"/>
        </w:rPr>
        <w:t>49%</w:t>
      </w:r>
      <w:r w:rsidRPr="00B701D2">
        <w:rPr>
          <w:rFonts w:eastAsia="仿宋_GB2312" w:hint="eastAsia"/>
          <w:kern w:val="0"/>
          <w:sz w:val="32"/>
          <w:szCs w:val="32"/>
        </w:rPr>
        <w:t>；而在使用其他免疫抑制剂治疗的实体器官移植受者中，自然流产的报告率为</w:t>
      </w:r>
      <w:r w:rsidRPr="00B701D2">
        <w:rPr>
          <w:rFonts w:eastAsia="仿宋_GB2312"/>
          <w:kern w:val="0"/>
          <w:sz w:val="32"/>
          <w:szCs w:val="32"/>
        </w:rPr>
        <w:t>12%</w:t>
      </w:r>
      <w:r>
        <w:rPr>
          <w:rFonts w:eastAsia="仿宋_GB2312" w:hint="eastAsia"/>
          <w:kern w:val="0"/>
          <w:sz w:val="32"/>
          <w:szCs w:val="32"/>
        </w:rPr>
        <w:t>—</w:t>
      </w:r>
      <w:r w:rsidRPr="00B701D2">
        <w:rPr>
          <w:rFonts w:eastAsia="仿宋_GB2312"/>
          <w:kern w:val="0"/>
          <w:sz w:val="32"/>
          <w:szCs w:val="32"/>
        </w:rPr>
        <w:t>33%</w:t>
      </w:r>
      <w:r w:rsidRPr="00B701D2">
        <w:rPr>
          <w:rFonts w:eastAsia="仿宋_GB2312" w:hint="eastAsia"/>
          <w:kern w:val="0"/>
          <w:sz w:val="32"/>
          <w:szCs w:val="32"/>
        </w:rPr>
        <w:t>。</w:t>
      </w:r>
    </w:p>
    <w:p w:rsidR="00D61E64" w:rsidRPr="00B701D2" w:rsidRDefault="00D61E64" w:rsidP="00D61E64">
      <w:pPr>
        <w:spacing w:line="620" w:lineRule="exact"/>
        <w:ind w:firstLineChars="200" w:firstLine="640"/>
        <w:rPr>
          <w:rFonts w:ascii="楷体_GB2312" w:eastAsia="楷体_GB2312" w:hAnsi="仿宋"/>
          <w:bCs/>
          <w:sz w:val="32"/>
          <w:szCs w:val="32"/>
        </w:rPr>
      </w:pPr>
      <w:r w:rsidRPr="00B701D2">
        <w:rPr>
          <w:rFonts w:ascii="楷体_GB2312" w:eastAsia="楷体_GB2312" w:hAnsi="仿宋"/>
          <w:bCs/>
          <w:sz w:val="32"/>
          <w:szCs w:val="32"/>
        </w:rPr>
        <w:t>哺乳</w:t>
      </w:r>
    </w:p>
    <w:p w:rsidR="00D61E64" w:rsidRPr="00B701D2" w:rsidRDefault="00D61E64" w:rsidP="00D61E64">
      <w:pPr>
        <w:spacing w:line="620" w:lineRule="exact"/>
        <w:ind w:firstLineChars="200" w:firstLine="640"/>
        <w:rPr>
          <w:rFonts w:eastAsia="仿宋_GB2312"/>
          <w:kern w:val="0"/>
          <w:sz w:val="32"/>
          <w:szCs w:val="32"/>
        </w:rPr>
      </w:pPr>
      <w:r w:rsidRPr="00B701D2">
        <w:rPr>
          <w:rFonts w:eastAsia="仿宋_GB2312"/>
          <w:kern w:val="0"/>
          <w:sz w:val="32"/>
          <w:szCs w:val="32"/>
        </w:rPr>
        <w:t>对大鼠的研究发现本药可从乳汁中分泌。但尚不知在人类中是否会分泌到母乳中。</w:t>
      </w:r>
      <w:r w:rsidRPr="00B701D2">
        <w:rPr>
          <w:rFonts w:eastAsia="仿宋_GB2312" w:hint="eastAsia"/>
          <w:kern w:val="0"/>
          <w:sz w:val="32"/>
          <w:szCs w:val="32"/>
        </w:rPr>
        <w:t>由于本品可能会导致哺乳期婴儿发生严重不良反应，所以本品禁用于哺乳期妇女</w:t>
      </w:r>
      <w:r w:rsidRPr="00B701D2">
        <w:rPr>
          <w:rFonts w:eastAsia="仿宋_GB2312"/>
          <w:kern w:val="0"/>
          <w:sz w:val="32"/>
          <w:szCs w:val="32"/>
        </w:rPr>
        <w:t>（见</w:t>
      </w:r>
      <w:r w:rsidRPr="00B701D2">
        <w:rPr>
          <w:rFonts w:eastAsia="仿宋_GB2312" w:hint="eastAsia"/>
          <w:kern w:val="0"/>
          <w:sz w:val="32"/>
          <w:szCs w:val="32"/>
        </w:rPr>
        <w:t>【</w:t>
      </w:r>
      <w:r w:rsidRPr="00B701D2">
        <w:rPr>
          <w:rFonts w:eastAsia="仿宋_GB2312"/>
          <w:kern w:val="0"/>
          <w:sz w:val="32"/>
          <w:szCs w:val="32"/>
        </w:rPr>
        <w:t>禁忌</w:t>
      </w:r>
      <w:r w:rsidRPr="00B701D2">
        <w:rPr>
          <w:rFonts w:eastAsia="仿宋_GB2312" w:hint="eastAsia"/>
          <w:kern w:val="0"/>
          <w:sz w:val="32"/>
          <w:szCs w:val="32"/>
        </w:rPr>
        <w:t>】</w:t>
      </w:r>
      <w:r w:rsidRPr="00B701D2">
        <w:rPr>
          <w:rFonts w:eastAsia="仿宋_GB2312"/>
          <w:kern w:val="0"/>
          <w:sz w:val="32"/>
          <w:szCs w:val="32"/>
        </w:rPr>
        <w:t>）</w:t>
      </w:r>
      <w:r w:rsidRPr="00B701D2">
        <w:rPr>
          <w:rFonts w:eastAsia="仿宋_GB2312" w:hint="eastAsia"/>
          <w:kern w:val="0"/>
          <w:sz w:val="32"/>
          <w:szCs w:val="32"/>
        </w:rPr>
        <w:t>。</w:t>
      </w:r>
    </w:p>
    <w:p w:rsidR="00D61E64" w:rsidRPr="00A2557F" w:rsidRDefault="00D61E64" w:rsidP="00D61E64">
      <w:pPr>
        <w:spacing w:line="620" w:lineRule="exact"/>
        <w:ind w:firstLineChars="200" w:firstLine="640"/>
        <w:rPr>
          <w:rFonts w:ascii="黑体" w:eastAsia="黑体" w:hAnsi="黑体"/>
          <w:sz w:val="32"/>
          <w:szCs w:val="32"/>
        </w:rPr>
      </w:pPr>
      <w:r w:rsidRPr="00A2557F">
        <w:rPr>
          <w:rFonts w:ascii="黑体" w:eastAsia="黑体" w:hAnsi="黑体" w:hint="eastAsia"/>
          <w:sz w:val="32"/>
          <w:szCs w:val="32"/>
        </w:rPr>
        <w:t>六、</w:t>
      </w:r>
      <w:r w:rsidRPr="00A2557F">
        <w:rPr>
          <w:rFonts w:ascii="黑体" w:eastAsia="黑体" w:hAnsi="黑体"/>
          <w:sz w:val="32"/>
          <w:szCs w:val="32"/>
        </w:rPr>
        <w:t>【儿童用药】</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根据肾脏移植后儿童的药代动力学和安全性数据，推荐剂量是本品口服</w:t>
      </w:r>
      <w:r w:rsidRPr="00B701D2">
        <w:rPr>
          <w:rFonts w:eastAsia="仿宋_GB2312"/>
          <w:sz w:val="32"/>
          <w:szCs w:val="32"/>
        </w:rPr>
        <w:t>600 mg/m</w:t>
      </w:r>
      <w:r w:rsidRPr="00B701D2">
        <w:rPr>
          <w:rFonts w:eastAsia="仿宋_GB2312"/>
          <w:sz w:val="32"/>
          <w:szCs w:val="32"/>
          <w:vertAlign w:val="superscript"/>
        </w:rPr>
        <w:t>2</w:t>
      </w:r>
      <w:r w:rsidRPr="00B701D2">
        <w:rPr>
          <w:rFonts w:eastAsia="仿宋_GB2312"/>
          <w:sz w:val="32"/>
          <w:szCs w:val="32"/>
        </w:rPr>
        <w:t xml:space="preserve"> bid</w:t>
      </w:r>
      <w:r w:rsidRPr="00B701D2">
        <w:rPr>
          <w:rFonts w:eastAsia="仿宋_GB2312" w:hint="eastAsia"/>
          <w:sz w:val="32"/>
          <w:szCs w:val="32"/>
        </w:rPr>
        <w:t>（最大至</w:t>
      </w:r>
      <w:r w:rsidRPr="00B701D2">
        <w:rPr>
          <w:rFonts w:eastAsia="仿宋_GB2312"/>
          <w:sz w:val="32"/>
          <w:szCs w:val="32"/>
        </w:rPr>
        <w:t>1 g bid</w:t>
      </w:r>
      <w:r w:rsidRPr="00B701D2">
        <w:rPr>
          <w:rFonts w:eastAsia="仿宋_GB2312" w:hint="eastAsia"/>
          <w:sz w:val="32"/>
          <w:szCs w:val="32"/>
        </w:rPr>
        <w:t>）。</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hint="eastAsia"/>
          <w:sz w:val="32"/>
          <w:szCs w:val="32"/>
        </w:rPr>
        <w:t>在接受心脏或肝脏同种异体移植的儿童患者的安全性和有效性尚未确定。</w:t>
      </w:r>
    </w:p>
    <w:p w:rsidR="00D61E64" w:rsidRPr="00A2557F" w:rsidRDefault="00D61E64" w:rsidP="00D61E64">
      <w:pPr>
        <w:spacing w:line="620" w:lineRule="exact"/>
        <w:ind w:firstLineChars="200" w:firstLine="640"/>
        <w:rPr>
          <w:rFonts w:ascii="黑体" w:eastAsia="黑体" w:hAnsi="黑体"/>
          <w:sz w:val="32"/>
          <w:szCs w:val="32"/>
        </w:rPr>
      </w:pPr>
      <w:r w:rsidRPr="00A2557F">
        <w:rPr>
          <w:rFonts w:ascii="黑体" w:eastAsia="黑体" w:hAnsi="黑体" w:hint="eastAsia"/>
          <w:sz w:val="32"/>
          <w:szCs w:val="32"/>
        </w:rPr>
        <w:t>七、</w:t>
      </w:r>
      <w:r w:rsidRPr="00A2557F">
        <w:rPr>
          <w:rFonts w:ascii="黑体" w:eastAsia="黑体" w:hAnsi="黑体"/>
          <w:sz w:val="32"/>
          <w:szCs w:val="32"/>
        </w:rPr>
        <w:t>【老年用药】</w:t>
      </w:r>
      <w:r w:rsidRPr="00A2557F">
        <w:rPr>
          <w:rFonts w:ascii="黑体" w:eastAsia="黑体" w:hAnsi="黑体" w:hint="eastAsia"/>
          <w:sz w:val="32"/>
          <w:szCs w:val="32"/>
        </w:rPr>
        <w:t>项应包括：</w:t>
      </w:r>
    </w:p>
    <w:p w:rsidR="00D61E64" w:rsidRPr="00B701D2" w:rsidRDefault="00D61E64" w:rsidP="00D61E64">
      <w:pPr>
        <w:spacing w:line="620" w:lineRule="exact"/>
        <w:ind w:firstLineChars="200" w:firstLine="640"/>
        <w:rPr>
          <w:rFonts w:eastAsia="仿宋_GB2312"/>
          <w:sz w:val="32"/>
          <w:szCs w:val="32"/>
        </w:rPr>
      </w:pPr>
      <w:r w:rsidRPr="00B701D2">
        <w:rPr>
          <w:rFonts w:eastAsia="仿宋_GB2312"/>
          <w:sz w:val="32"/>
          <w:szCs w:val="32"/>
        </w:rPr>
        <w:t>本品的临床试验中未包括足够的</w:t>
      </w:r>
      <w:r w:rsidRPr="00B701D2">
        <w:rPr>
          <w:rFonts w:eastAsia="仿宋_GB2312"/>
          <w:sz w:val="32"/>
          <w:szCs w:val="32"/>
        </w:rPr>
        <w:t>65</w:t>
      </w:r>
      <w:r w:rsidRPr="00B701D2">
        <w:rPr>
          <w:rFonts w:eastAsia="仿宋_GB2312"/>
          <w:sz w:val="32"/>
          <w:szCs w:val="32"/>
        </w:rPr>
        <w:t>岁或以上的老年人，不能确定老年人的效果是否与年轻人不同。其他报道的临床经验也没有确定老年人和年轻人的效果差异。总</w:t>
      </w:r>
      <w:r w:rsidRPr="00B701D2">
        <w:rPr>
          <w:rFonts w:eastAsia="仿宋_GB2312" w:hint="eastAsia"/>
          <w:sz w:val="32"/>
          <w:szCs w:val="32"/>
        </w:rPr>
        <w:t>体原则</w:t>
      </w:r>
      <w:r w:rsidRPr="00B701D2">
        <w:rPr>
          <w:rFonts w:eastAsia="仿宋_GB2312"/>
          <w:sz w:val="32"/>
          <w:szCs w:val="32"/>
        </w:rPr>
        <w:t>，老年人的剂量选择要慎重，因为更多老年人的肾脏、心脏和肝脏功能下降</w:t>
      </w:r>
      <w:r w:rsidRPr="00B701D2">
        <w:rPr>
          <w:rFonts w:eastAsia="仿宋_GB2312" w:hint="eastAsia"/>
          <w:sz w:val="32"/>
          <w:szCs w:val="32"/>
        </w:rPr>
        <w:t>，并且</w:t>
      </w:r>
      <w:r w:rsidRPr="00B701D2">
        <w:rPr>
          <w:rFonts w:eastAsia="仿宋_GB2312"/>
          <w:sz w:val="32"/>
          <w:szCs w:val="32"/>
        </w:rPr>
        <w:t>多合并应用其他药物。与年轻人相比，老年人的不良反应可能更多见。</w:t>
      </w:r>
    </w:p>
    <w:p w:rsidR="00D61E64" w:rsidRPr="00A2557F" w:rsidRDefault="00D61E64" w:rsidP="00D61E64">
      <w:pPr>
        <w:spacing w:line="600" w:lineRule="exact"/>
        <w:ind w:firstLineChars="200" w:firstLine="640"/>
        <w:rPr>
          <w:rFonts w:ascii="黑体" w:eastAsia="黑体" w:hAnsi="黑体"/>
          <w:sz w:val="32"/>
          <w:szCs w:val="32"/>
        </w:rPr>
      </w:pPr>
      <w:r w:rsidRPr="00A2557F">
        <w:rPr>
          <w:rFonts w:ascii="黑体" w:eastAsia="黑体" w:hAnsi="黑体" w:hint="eastAsia"/>
          <w:sz w:val="32"/>
          <w:szCs w:val="32"/>
        </w:rPr>
        <w:lastRenderedPageBreak/>
        <w:t>八、</w:t>
      </w:r>
      <w:r w:rsidRPr="00A2557F">
        <w:rPr>
          <w:rFonts w:ascii="黑体" w:eastAsia="黑体" w:hAnsi="黑体"/>
          <w:sz w:val="32"/>
          <w:szCs w:val="32"/>
        </w:rPr>
        <w:t>【药物相互作用】</w:t>
      </w:r>
      <w:r w:rsidRPr="00A2557F">
        <w:rPr>
          <w:rFonts w:ascii="黑体" w:eastAsia="黑体" w:hAnsi="黑体" w:hint="eastAsia"/>
          <w:sz w:val="32"/>
          <w:szCs w:val="32"/>
        </w:rPr>
        <w:t>项应包括：</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阿昔洛韦：同时服用本品和阿昔洛韦，酚化葡萄糖醛麦考酚酸（</w:t>
      </w:r>
      <w:r w:rsidRPr="00B701D2">
        <w:rPr>
          <w:rFonts w:eastAsia="仿宋_GB2312"/>
          <w:sz w:val="32"/>
          <w:szCs w:val="32"/>
        </w:rPr>
        <w:t>MPAG</w:t>
      </w:r>
      <w:r w:rsidRPr="00B701D2">
        <w:rPr>
          <w:rFonts w:eastAsia="仿宋_GB2312" w:hint="eastAsia"/>
          <w:sz w:val="32"/>
          <w:szCs w:val="32"/>
        </w:rPr>
        <w:t>）和阿昔洛韦的血浆浓度均较单独用药时有所升高。由于肾功能不全时，</w:t>
      </w:r>
      <w:r w:rsidRPr="00B701D2">
        <w:rPr>
          <w:rFonts w:eastAsia="仿宋_GB2312"/>
          <w:sz w:val="32"/>
          <w:szCs w:val="32"/>
        </w:rPr>
        <w:t>MPAG</w:t>
      </w:r>
      <w:r w:rsidRPr="00B701D2">
        <w:rPr>
          <w:rFonts w:eastAsia="仿宋_GB2312"/>
          <w:sz w:val="32"/>
          <w:szCs w:val="32"/>
        </w:rPr>
        <w:t>血浆浓度升高，阿昔洛韦浓度也升高，所以两种药物竞争从肾小管分泌的潜在性的存在，使两种药物的血浆浓度可能进一步升高。</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抗酸药和质子泵抑制剂（</w:t>
      </w:r>
      <w:r w:rsidRPr="00B701D2">
        <w:rPr>
          <w:rFonts w:eastAsia="仿宋_GB2312"/>
          <w:sz w:val="32"/>
          <w:szCs w:val="32"/>
        </w:rPr>
        <w:t>PPI</w:t>
      </w:r>
      <w:r w:rsidRPr="00B701D2">
        <w:rPr>
          <w:rFonts w:eastAsia="仿宋_GB2312" w:hint="eastAsia"/>
          <w:sz w:val="32"/>
          <w:szCs w:val="32"/>
        </w:rPr>
        <w:t>）：同时服用本品和抗酸药（如氢氧化镁和氢氧化铝）或质子泵抑制剂（包括兰索拉唑和泮托拉唑）时，可以观察到</w:t>
      </w:r>
      <w:r w:rsidRPr="00B701D2">
        <w:rPr>
          <w:rFonts w:eastAsia="仿宋_GB2312"/>
          <w:sz w:val="32"/>
          <w:szCs w:val="32"/>
        </w:rPr>
        <w:t>MPA</w:t>
      </w:r>
      <w:r w:rsidRPr="00B701D2">
        <w:rPr>
          <w:rFonts w:eastAsia="仿宋_GB2312" w:hint="eastAsia"/>
          <w:sz w:val="32"/>
          <w:szCs w:val="32"/>
        </w:rPr>
        <w:t>暴露量降低。但对比同时服用质子泵抑制剂的患者和未同时服用质子泵抑制剂的患者，其移植排斥率或移植物丢失率无显著差异。基于这些数据，可将这一结果外推至所有抗酸药，因为在同时服用本品和氢氧化镁或氢氧化铝时，</w:t>
      </w:r>
      <w:r w:rsidRPr="00B701D2">
        <w:rPr>
          <w:rFonts w:eastAsia="仿宋_GB2312"/>
          <w:sz w:val="32"/>
          <w:szCs w:val="32"/>
        </w:rPr>
        <w:t>MPA</w:t>
      </w:r>
      <w:r w:rsidRPr="00B701D2">
        <w:rPr>
          <w:rFonts w:eastAsia="仿宋_GB2312" w:hint="eastAsia"/>
          <w:sz w:val="32"/>
          <w:szCs w:val="32"/>
        </w:rPr>
        <w:t>暴露量的降低比同时服用本品和</w:t>
      </w:r>
      <w:r w:rsidRPr="00B701D2">
        <w:rPr>
          <w:rFonts w:eastAsia="仿宋_GB2312"/>
          <w:sz w:val="32"/>
          <w:szCs w:val="32"/>
        </w:rPr>
        <w:t>PPI</w:t>
      </w:r>
      <w:r w:rsidRPr="00B701D2">
        <w:rPr>
          <w:rFonts w:eastAsia="仿宋_GB2312" w:hint="eastAsia"/>
          <w:sz w:val="32"/>
          <w:szCs w:val="32"/>
        </w:rPr>
        <w:t>时幅度小。</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消胆胺：正常健康受试者，预先服用消胆胺</w:t>
      </w:r>
      <w:r w:rsidRPr="00B701D2">
        <w:rPr>
          <w:rFonts w:eastAsia="仿宋_GB2312"/>
          <w:sz w:val="32"/>
          <w:szCs w:val="32"/>
        </w:rPr>
        <w:t>4</w:t>
      </w:r>
      <w:r w:rsidRPr="00B701D2">
        <w:rPr>
          <w:rFonts w:eastAsia="仿宋_GB2312"/>
          <w:sz w:val="32"/>
          <w:szCs w:val="32"/>
        </w:rPr>
        <w:t>天，</w:t>
      </w:r>
      <w:r w:rsidRPr="00B701D2">
        <w:rPr>
          <w:rFonts w:eastAsia="仿宋_GB2312"/>
          <w:sz w:val="32"/>
          <w:szCs w:val="32"/>
        </w:rPr>
        <w:t>4g</w:t>
      </w:r>
      <w:r w:rsidRPr="00B701D2">
        <w:rPr>
          <w:rFonts w:eastAsia="仿宋_GB2312" w:hint="eastAsia"/>
          <w:sz w:val="32"/>
          <w:szCs w:val="32"/>
        </w:rPr>
        <w:t>，</w:t>
      </w:r>
      <w:r w:rsidRPr="00B701D2">
        <w:rPr>
          <w:rFonts w:eastAsia="仿宋_GB2312"/>
          <w:sz w:val="32"/>
          <w:szCs w:val="32"/>
        </w:rPr>
        <w:t>tid</w:t>
      </w:r>
      <w:r w:rsidRPr="00B701D2">
        <w:rPr>
          <w:rFonts w:eastAsia="仿宋_GB2312"/>
          <w:sz w:val="32"/>
          <w:szCs w:val="32"/>
        </w:rPr>
        <w:t>，单剂给药本品</w:t>
      </w:r>
      <w:r w:rsidRPr="00B701D2">
        <w:rPr>
          <w:rFonts w:eastAsia="仿宋_GB2312"/>
          <w:sz w:val="32"/>
          <w:szCs w:val="32"/>
        </w:rPr>
        <w:t>1.5g</w:t>
      </w:r>
      <w:r w:rsidRPr="00B701D2">
        <w:rPr>
          <w:rFonts w:eastAsia="仿宋_GB2312"/>
          <w:sz w:val="32"/>
          <w:szCs w:val="32"/>
        </w:rPr>
        <w:t>，</w:t>
      </w:r>
      <w:r w:rsidRPr="00B701D2">
        <w:rPr>
          <w:rFonts w:eastAsia="仿宋_GB2312"/>
          <w:sz w:val="32"/>
          <w:szCs w:val="32"/>
        </w:rPr>
        <w:t>MPA</w:t>
      </w:r>
      <w:r w:rsidRPr="00B701D2">
        <w:rPr>
          <w:rFonts w:eastAsia="仿宋_GB2312"/>
          <w:sz w:val="32"/>
          <w:szCs w:val="32"/>
        </w:rPr>
        <w:t>的</w:t>
      </w:r>
      <w:r w:rsidRPr="00B701D2">
        <w:rPr>
          <w:rFonts w:eastAsia="仿宋_GB2312"/>
          <w:sz w:val="32"/>
          <w:szCs w:val="32"/>
        </w:rPr>
        <w:t>AUC</w:t>
      </w:r>
      <w:r w:rsidRPr="00B701D2">
        <w:rPr>
          <w:rFonts w:eastAsia="仿宋_GB2312"/>
          <w:sz w:val="32"/>
          <w:szCs w:val="32"/>
        </w:rPr>
        <w:t>下降约</w:t>
      </w:r>
      <w:r w:rsidRPr="00B701D2">
        <w:rPr>
          <w:rFonts w:eastAsia="仿宋_GB2312"/>
          <w:sz w:val="32"/>
          <w:szCs w:val="32"/>
        </w:rPr>
        <w:t>40%</w:t>
      </w:r>
      <w:r w:rsidRPr="00B701D2">
        <w:rPr>
          <w:rFonts w:eastAsia="仿宋_GB2312"/>
          <w:sz w:val="32"/>
          <w:szCs w:val="32"/>
        </w:rPr>
        <w:t>。本品与影响肝肠循环的药物合用时需慎重。</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环孢菌素</w:t>
      </w:r>
      <w:r w:rsidRPr="00B701D2">
        <w:rPr>
          <w:rFonts w:eastAsia="仿宋_GB2312"/>
          <w:sz w:val="32"/>
          <w:szCs w:val="32"/>
        </w:rPr>
        <w:t>A</w:t>
      </w:r>
      <w:r w:rsidRPr="00B701D2">
        <w:rPr>
          <w:rFonts w:eastAsia="仿宋_GB2312"/>
          <w:sz w:val="32"/>
          <w:szCs w:val="32"/>
        </w:rPr>
        <w:t>：环孢菌素</w:t>
      </w:r>
      <w:r w:rsidRPr="00B701D2">
        <w:rPr>
          <w:rFonts w:eastAsia="仿宋_GB2312"/>
          <w:sz w:val="32"/>
          <w:szCs w:val="32"/>
        </w:rPr>
        <w:t>A</w:t>
      </w:r>
      <w:r w:rsidRPr="00B701D2">
        <w:rPr>
          <w:rFonts w:eastAsia="仿宋_GB2312"/>
          <w:sz w:val="32"/>
          <w:szCs w:val="32"/>
        </w:rPr>
        <w:t>（</w:t>
      </w:r>
      <w:r w:rsidRPr="00B701D2">
        <w:rPr>
          <w:rFonts w:eastAsia="仿宋_GB2312"/>
          <w:sz w:val="32"/>
          <w:szCs w:val="32"/>
        </w:rPr>
        <w:t>CsA</w:t>
      </w:r>
      <w:r w:rsidRPr="00B701D2">
        <w:rPr>
          <w:rFonts w:eastAsia="仿宋_GB2312"/>
          <w:sz w:val="32"/>
          <w:szCs w:val="32"/>
        </w:rPr>
        <w:t>）的药代动力学不受本品的影响。但在肾移植受者中，与联合使用西罗莫司或贝拉西普，类似剂量本品的患者相比，合并使用本品和环孢菌素</w:t>
      </w:r>
      <w:r w:rsidRPr="00B701D2">
        <w:rPr>
          <w:rFonts w:eastAsia="仿宋_GB2312"/>
          <w:sz w:val="32"/>
          <w:szCs w:val="32"/>
        </w:rPr>
        <w:t>A</w:t>
      </w:r>
      <w:r w:rsidRPr="00B701D2">
        <w:rPr>
          <w:rFonts w:eastAsia="仿宋_GB2312" w:hint="eastAsia"/>
          <w:sz w:val="32"/>
          <w:szCs w:val="32"/>
        </w:rPr>
        <w:t>，因为环孢素</w:t>
      </w:r>
      <w:r w:rsidRPr="00B701D2">
        <w:rPr>
          <w:rFonts w:eastAsia="仿宋_GB2312"/>
          <w:sz w:val="32"/>
          <w:szCs w:val="32"/>
        </w:rPr>
        <w:t>A</w:t>
      </w:r>
      <w:r w:rsidRPr="00B701D2">
        <w:rPr>
          <w:rFonts w:eastAsia="仿宋_GB2312" w:hint="eastAsia"/>
          <w:sz w:val="32"/>
          <w:szCs w:val="32"/>
        </w:rPr>
        <w:t>干扰</w:t>
      </w:r>
      <w:r w:rsidRPr="00B701D2">
        <w:rPr>
          <w:rFonts w:eastAsia="仿宋_GB2312"/>
          <w:sz w:val="32"/>
          <w:szCs w:val="32"/>
        </w:rPr>
        <w:t>MPA</w:t>
      </w:r>
      <w:r w:rsidRPr="00B701D2">
        <w:rPr>
          <w:rFonts w:eastAsia="仿宋_GB2312" w:hint="eastAsia"/>
          <w:sz w:val="32"/>
          <w:szCs w:val="32"/>
        </w:rPr>
        <w:t>的肝肠循环，可将</w:t>
      </w:r>
      <w:r w:rsidRPr="00B701D2">
        <w:rPr>
          <w:rFonts w:eastAsia="仿宋_GB2312"/>
          <w:sz w:val="32"/>
          <w:szCs w:val="32"/>
        </w:rPr>
        <w:t>MPA</w:t>
      </w:r>
      <w:r w:rsidRPr="00B701D2">
        <w:rPr>
          <w:rFonts w:eastAsia="仿宋_GB2312"/>
          <w:sz w:val="32"/>
          <w:szCs w:val="32"/>
        </w:rPr>
        <w:t>降低</w:t>
      </w:r>
      <w:r w:rsidRPr="00B701D2">
        <w:rPr>
          <w:rFonts w:eastAsia="仿宋_GB2312"/>
          <w:sz w:val="32"/>
          <w:szCs w:val="32"/>
        </w:rPr>
        <w:t>30%</w:t>
      </w:r>
      <w:r>
        <w:rPr>
          <w:rFonts w:eastAsia="仿宋_GB2312" w:hint="eastAsia"/>
          <w:sz w:val="32"/>
          <w:szCs w:val="32"/>
        </w:rPr>
        <w:t>—</w:t>
      </w:r>
      <w:r w:rsidRPr="00B701D2">
        <w:rPr>
          <w:rFonts w:eastAsia="仿宋_GB2312"/>
          <w:sz w:val="32"/>
          <w:szCs w:val="32"/>
        </w:rPr>
        <w:t>50%</w:t>
      </w:r>
      <w:r w:rsidRPr="00B701D2">
        <w:rPr>
          <w:rFonts w:eastAsia="仿宋_GB2312"/>
          <w:sz w:val="32"/>
          <w:szCs w:val="32"/>
        </w:rPr>
        <w:t>。</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hint="eastAsia"/>
          <w:sz w:val="32"/>
          <w:szCs w:val="32"/>
        </w:rPr>
        <w:t>替米沙坦：与替米沙坦联用，可使</w:t>
      </w:r>
      <w:r w:rsidRPr="00B701D2">
        <w:rPr>
          <w:rFonts w:eastAsia="仿宋_GB2312"/>
          <w:sz w:val="32"/>
          <w:szCs w:val="32"/>
        </w:rPr>
        <w:t>MPA</w:t>
      </w:r>
      <w:r w:rsidRPr="00B701D2">
        <w:rPr>
          <w:rFonts w:eastAsia="仿宋_GB2312" w:hint="eastAsia"/>
          <w:sz w:val="32"/>
          <w:szCs w:val="32"/>
        </w:rPr>
        <w:t>的浓度降低大约</w:t>
      </w:r>
      <w:r w:rsidRPr="00B701D2">
        <w:rPr>
          <w:rFonts w:eastAsia="仿宋_GB2312"/>
          <w:sz w:val="32"/>
          <w:szCs w:val="32"/>
        </w:rPr>
        <w:t>30%</w:t>
      </w:r>
      <w:r w:rsidRPr="00B701D2">
        <w:rPr>
          <w:rFonts w:eastAsia="仿宋_GB2312" w:hint="eastAsia"/>
          <w:sz w:val="32"/>
          <w:szCs w:val="32"/>
        </w:rPr>
        <w:t>。替米沙坦可以改变</w:t>
      </w:r>
      <w:r w:rsidRPr="00B701D2">
        <w:rPr>
          <w:rFonts w:eastAsia="仿宋_GB2312"/>
          <w:sz w:val="32"/>
          <w:szCs w:val="32"/>
        </w:rPr>
        <w:t>MPA</w:t>
      </w:r>
      <w:r w:rsidRPr="00B701D2">
        <w:rPr>
          <w:rFonts w:eastAsia="仿宋_GB2312" w:hint="eastAsia"/>
          <w:sz w:val="32"/>
          <w:szCs w:val="32"/>
        </w:rPr>
        <w:t>的消除，是通过提高</w:t>
      </w:r>
      <w:r w:rsidRPr="00B701D2">
        <w:rPr>
          <w:rFonts w:eastAsia="仿宋_GB2312"/>
          <w:sz w:val="32"/>
          <w:szCs w:val="32"/>
        </w:rPr>
        <w:t>PPAR</w:t>
      </w:r>
      <w:r w:rsidRPr="00B701D2">
        <w:rPr>
          <w:rFonts w:eastAsia="仿宋_GB2312" w:hint="eastAsia"/>
          <w:sz w:val="32"/>
          <w:szCs w:val="32"/>
        </w:rPr>
        <w:t>通表达（过</w:t>
      </w:r>
      <w:r w:rsidRPr="00B701D2">
        <w:rPr>
          <w:rFonts w:eastAsia="仿宋_GB2312" w:hint="eastAsia"/>
          <w:sz w:val="32"/>
          <w:szCs w:val="32"/>
        </w:rPr>
        <w:lastRenderedPageBreak/>
        <w:t>氧化物酶体增殖物活化受体γ），然后导致</w:t>
      </w:r>
      <w:r w:rsidRPr="00B701D2">
        <w:rPr>
          <w:rFonts w:eastAsia="仿宋_GB2312"/>
          <w:sz w:val="32"/>
          <w:szCs w:val="32"/>
        </w:rPr>
        <w:t>UGT1A9</w:t>
      </w:r>
      <w:r w:rsidRPr="00B701D2">
        <w:rPr>
          <w:rFonts w:eastAsia="仿宋_GB2312" w:hint="eastAsia"/>
          <w:sz w:val="32"/>
          <w:szCs w:val="32"/>
        </w:rPr>
        <w:t>表达和活性的增加。将给予本品联用替米沙坦及不联用替米沙坦患者的移植排斥的发生率、移植失败的发生率或者不良反应进行对比，没有观察到药代动力学药物相互作用（</w:t>
      </w:r>
      <w:r w:rsidRPr="00B701D2">
        <w:rPr>
          <w:rFonts w:eastAsia="仿宋_GB2312"/>
          <w:sz w:val="32"/>
          <w:szCs w:val="32"/>
        </w:rPr>
        <w:t>DDI</w:t>
      </w:r>
      <w:r w:rsidRPr="00B701D2">
        <w:rPr>
          <w:rFonts w:eastAsia="仿宋_GB2312" w:hint="eastAsia"/>
          <w:sz w:val="32"/>
          <w:szCs w:val="32"/>
        </w:rPr>
        <w:t>）的临床结果。</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更昔洛韦：根据推荐剂量的单剂口服吗替麦考酚酯和静注更昔洛韦的研究结果，和已知肾损伤对本品与更昔洛韦药代动力学的影响，预计这些试剂的联合给药（竞争肾小管分泌的机制）将导致</w:t>
      </w:r>
      <w:r w:rsidRPr="00B701D2">
        <w:rPr>
          <w:rFonts w:eastAsia="仿宋_GB2312"/>
          <w:sz w:val="32"/>
          <w:szCs w:val="32"/>
        </w:rPr>
        <w:t>MPAG</w:t>
      </w:r>
      <w:r w:rsidRPr="00B701D2">
        <w:rPr>
          <w:rFonts w:eastAsia="仿宋_GB2312"/>
          <w:sz w:val="32"/>
          <w:szCs w:val="32"/>
        </w:rPr>
        <w:t>和更昔洛韦浓度的增加。预计</w:t>
      </w:r>
      <w:r w:rsidRPr="00B701D2">
        <w:rPr>
          <w:rFonts w:eastAsia="仿宋_GB2312"/>
          <w:sz w:val="32"/>
          <w:szCs w:val="32"/>
        </w:rPr>
        <w:t>MPA</w:t>
      </w:r>
      <w:r w:rsidRPr="00B701D2">
        <w:rPr>
          <w:rFonts w:eastAsia="仿宋_GB2312"/>
          <w:sz w:val="32"/>
          <w:szCs w:val="32"/>
        </w:rPr>
        <w:t>药代动力学没有实质性改变，也无需调整本品的剂量。在肾损伤的患者当中，本品与更昔洛韦或者它的前药，如缬更昔洛韦联合给药时，应对其进行仔细监视。</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口服</w:t>
      </w:r>
      <w:r w:rsidRPr="00B701D2">
        <w:rPr>
          <w:rFonts w:eastAsia="仿宋_GB2312"/>
          <w:spacing w:val="-10"/>
          <w:sz w:val="32"/>
          <w:szCs w:val="32"/>
        </w:rPr>
        <w:t>避孕药：口服避孕药的药代动力学不受同服本品的影响。</w:t>
      </w:r>
      <w:r w:rsidRPr="00B701D2">
        <w:rPr>
          <w:rFonts w:eastAsia="仿宋_GB2312"/>
          <w:spacing w:val="-10"/>
          <w:sz w:val="32"/>
          <w:szCs w:val="32"/>
        </w:rPr>
        <w:t>18</w:t>
      </w:r>
      <w:r w:rsidRPr="00B701D2">
        <w:rPr>
          <w:rFonts w:eastAsia="仿宋_GB2312"/>
          <w:spacing w:val="-10"/>
          <w:sz w:val="32"/>
          <w:szCs w:val="32"/>
        </w:rPr>
        <w:t>例银屑病的妇女超过</w:t>
      </w:r>
      <w:r w:rsidRPr="00B701D2">
        <w:rPr>
          <w:rFonts w:eastAsia="仿宋_GB2312"/>
          <w:spacing w:val="-10"/>
          <w:sz w:val="32"/>
          <w:szCs w:val="32"/>
        </w:rPr>
        <w:t>3</w:t>
      </w:r>
      <w:r w:rsidRPr="00B701D2">
        <w:rPr>
          <w:rFonts w:eastAsia="仿宋_GB2312"/>
          <w:spacing w:val="-10"/>
          <w:sz w:val="32"/>
          <w:szCs w:val="32"/>
        </w:rPr>
        <w:t>个月经周期的研究表明，本品（</w:t>
      </w:r>
      <w:r w:rsidRPr="00B701D2">
        <w:rPr>
          <w:rFonts w:eastAsia="仿宋_GB2312"/>
          <w:spacing w:val="-10"/>
          <w:sz w:val="32"/>
          <w:szCs w:val="32"/>
        </w:rPr>
        <w:t>1g</w:t>
      </w:r>
      <w:r w:rsidRPr="00B701D2">
        <w:rPr>
          <w:rFonts w:eastAsia="仿宋_GB2312" w:hint="eastAsia"/>
          <w:spacing w:val="-10"/>
          <w:sz w:val="32"/>
          <w:szCs w:val="32"/>
        </w:rPr>
        <w:t>，</w:t>
      </w:r>
      <w:r w:rsidRPr="00B701D2">
        <w:rPr>
          <w:rFonts w:eastAsia="仿宋_GB2312"/>
          <w:spacing w:val="-10"/>
          <w:sz w:val="32"/>
          <w:szCs w:val="32"/>
        </w:rPr>
        <w:t>bid</w:t>
      </w:r>
      <w:r w:rsidRPr="00B701D2">
        <w:rPr>
          <w:rFonts w:eastAsia="仿宋_GB2312"/>
          <w:spacing w:val="-10"/>
          <w:sz w:val="32"/>
          <w:szCs w:val="32"/>
        </w:rPr>
        <w:t>）与含有乙炔雌醇（</w:t>
      </w:r>
      <w:r w:rsidRPr="00B701D2">
        <w:rPr>
          <w:rFonts w:eastAsia="仿宋_GB2312"/>
          <w:spacing w:val="-10"/>
          <w:sz w:val="32"/>
          <w:szCs w:val="32"/>
        </w:rPr>
        <w:t>0.02mg</w:t>
      </w:r>
      <w:r w:rsidRPr="00B701D2">
        <w:rPr>
          <w:rFonts w:eastAsia="仿宋_GB2312" w:hint="eastAsia"/>
          <w:spacing w:val="-10"/>
          <w:sz w:val="32"/>
          <w:szCs w:val="32"/>
        </w:rPr>
        <w:t>—</w:t>
      </w:r>
      <w:r w:rsidRPr="00B701D2">
        <w:rPr>
          <w:rFonts w:eastAsia="仿宋_GB2312"/>
          <w:spacing w:val="-10"/>
          <w:sz w:val="32"/>
          <w:szCs w:val="32"/>
        </w:rPr>
        <w:t>0.04mg</w:t>
      </w:r>
      <w:r w:rsidRPr="00B701D2">
        <w:rPr>
          <w:rFonts w:eastAsia="仿宋_GB2312"/>
          <w:spacing w:val="-10"/>
          <w:sz w:val="32"/>
          <w:szCs w:val="32"/>
        </w:rPr>
        <w:t>）和左炔诺孕酮（</w:t>
      </w:r>
      <w:r w:rsidRPr="00B701D2">
        <w:rPr>
          <w:rFonts w:eastAsia="仿宋_GB2312"/>
          <w:spacing w:val="-10"/>
          <w:sz w:val="32"/>
          <w:szCs w:val="32"/>
        </w:rPr>
        <w:t>0.05mg</w:t>
      </w:r>
      <w:r w:rsidRPr="00B701D2">
        <w:rPr>
          <w:rFonts w:eastAsia="仿宋_GB2312" w:hint="eastAsia"/>
          <w:spacing w:val="-10"/>
          <w:sz w:val="32"/>
          <w:szCs w:val="32"/>
        </w:rPr>
        <w:t>—</w:t>
      </w:r>
      <w:r w:rsidRPr="00B701D2">
        <w:rPr>
          <w:rFonts w:eastAsia="仿宋_GB2312"/>
          <w:spacing w:val="-10"/>
          <w:sz w:val="32"/>
          <w:szCs w:val="32"/>
        </w:rPr>
        <w:t>0.20mg</w:t>
      </w:r>
      <w:r w:rsidRPr="00B701D2">
        <w:rPr>
          <w:rFonts w:eastAsia="仿宋_GB2312"/>
          <w:spacing w:val="-10"/>
          <w:sz w:val="32"/>
          <w:szCs w:val="32"/>
        </w:rPr>
        <w:t>）</w:t>
      </w:r>
      <w:r w:rsidRPr="00B701D2">
        <w:rPr>
          <w:rFonts w:eastAsia="仿宋_GB2312"/>
          <w:sz w:val="32"/>
          <w:szCs w:val="32"/>
        </w:rPr>
        <w:t>，去氧孕烯（</w:t>
      </w:r>
      <w:r w:rsidRPr="00B701D2">
        <w:rPr>
          <w:rFonts w:eastAsia="仿宋_GB2312"/>
          <w:sz w:val="32"/>
          <w:szCs w:val="32"/>
        </w:rPr>
        <w:t>0.15mg</w:t>
      </w:r>
      <w:r w:rsidRPr="00B701D2">
        <w:rPr>
          <w:rFonts w:eastAsia="仿宋_GB2312"/>
          <w:sz w:val="32"/>
          <w:szCs w:val="32"/>
        </w:rPr>
        <w:t>）或孕二烯酮（</w:t>
      </w:r>
      <w:r w:rsidRPr="00B701D2">
        <w:rPr>
          <w:rFonts w:eastAsia="仿宋_GB2312"/>
          <w:sz w:val="32"/>
          <w:szCs w:val="32"/>
        </w:rPr>
        <w:t>0.05mg</w:t>
      </w:r>
      <w:r>
        <w:rPr>
          <w:rFonts w:eastAsia="仿宋_GB2312" w:hint="eastAsia"/>
          <w:sz w:val="32"/>
          <w:szCs w:val="32"/>
        </w:rPr>
        <w:t>—</w:t>
      </w:r>
      <w:r w:rsidRPr="00B701D2">
        <w:rPr>
          <w:rFonts w:eastAsia="仿宋_GB2312"/>
          <w:sz w:val="32"/>
          <w:szCs w:val="32"/>
        </w:rPr>
        <w:t>0.10mg</w:t>
      </w:r>
      <w:r w:rsidRPr="00B701D2">
        <w:rPr>
          <w:rFonts w:eastAsia="仿宋_GB2312"/>
          <w:sz w:val="32"/>
          <w:szCs w:val="32"/>
        </w:rPr>
        <w:t>）的结合型口服避孕药联合给药，血清黄体酮、</w:t>
      </w:r>
      <w:r w:rsidRPr="00B701D2">
        <w:rPr>
          <w:rFonts w:eastAsia="仿宋_GB2312"/>
          <w:sz w:val="32"/>
          <w:szCs w:val="32"/>
        </w:rPr>
        <w:t>LH</w:t>
      </w:r>
      <w:r w:rsidRPr="00B701D2">
        <w:rPr>
          <w:rFonts w:eastAsia="仿宋_GB2312"/>
          <w:sz w:val="32"/>
          <w:szCs w:val="32"/>
        </w:rPr>
        <w:t>和</w:t>
      </w:r>
      <w:r w:rsidRPr="00B701D2">
        <w:rPr>
          <w:rFonts w:eastAsia="仿宋_GB2312"/>
          <w:sz w:val="32"/>
          <w:szCs w:val="32"/>
        </w:rPr>
        <w:t>FSH</w:t>
      </w:r>
      <w:r w:rsidRPr="00B701D2">
        <w:rPr>
          <w:rFonts w:eastAsia="仿宋_GB2312"/>
          <w:sz w:val="32"/>
          <w:szCs w:val="32"/>
        </w:rPr>
        <w:t>水平无显著影响，提示本品对口服避孕药的卵巢抑制功能可能无影响。</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利福平：经过剂量校正以后，在单心肺移植的患者合并利福平给药时观察到</w:t>
      </w:r>
      <w:r w:rsidRPr="00B701D2">
        <w:rPr>
          <w:rFonts w:eastAsia="仿宋_GB2312"/>
          <w:sz w:val="32"/>
          <w:szCs w:val="32"/>
        </w:rPr>
        <w:t>MPA</w:t>
      </w:r>
      <w:r w:rsidRPr="00B701D2">
        <w:rPr>
          <w:rFonts w:eastAsia="仿宋_GB2312"/>
          <w:sz w:val="32"/>
          <w:szCs w:val="32"/>
        </w:rPr>
        <w:t>的暴露（</w:t>
      </w:r>
      <w:r w:rsidRPr="00B701D2">
        <w:rPr>
          <w:rFonts w:eastAsia="仿宋_GB2312"/>
          <w:sz w:val="32"/>
          <w:szCs w:val="32"/>
        </w:rPr>
        <w:t>AUC</w:t>
      </w:r>
      <w:r w:rsidRPr="00B701D2">
        <w:rPr>
          <w:rFonts w:eastAsia="仿宋_GB2312"/>
          <w:sz w:val="32"/>
          <w:szCs w:val="32"/>
          <w:vertAlign w:val="subscript"/>
        </w:rPr>
        <w:t>0</w:t>
      </w:r>
      <w:r w:rsidRPr="00B701D2">
        <w:rPr>
          <w:rFonts w:eastAsia="仿宋_GB2312" w:hint="eastAsia"/>
          <w:sz w:val="32"/>
          <w:szCs w:val="32"/>
          <w:vertAlign w:val="subscript"/>
        </w:rPr>
        <w:t>—</w:t>
      </w:r>
      <w:r w:rsidRPr="00B701D2">
        <w:rPr>
          <w:rFonts w:eastAsia="仿宋_GB2312"/>
          <w:sz w:val="32"/>
          <w:szCs w:val="32"/>
          <w:vertAlign w:val="subscript"/>
        </w:rPr>
        <w:t>12h</w:t>
      </w:r>
      <w:r w:rsidRPr="00B701D2">
        <w:rPr>
          <w:rFonts w:eastAsia="仿宋_GB2312"/>
          <w:sz w:val="32"/>
          <w:szCs w:val="32"/>
        </w:rPr>
        <w:t>）下降了</w:t>
      </w:r>
      <w:r w:rsidRPr="00B701D2">
        <w:rPr>
          <w:rFonts w:eastAsia="仿宋_GB2312"/>
          <w:sz w:val="32"/>
          <w:szCs w:val="32"/>
        </w:rPr>
        <w:t>70%</w:t>
      </w:r>
      <w:r w:rsidRPr="00B701D2">
        <w:rPr>
          <w:rFonts w:eastAsia="仿宋_GB2312"/>
          <w:sz w:val="32"/>
          <w:szCs w:val="32"/>
        </w:rPr>
        <w:t>。因此建议在合并使用此药的时候，对</w:t>
      </w:r>
      <w:r w:rsidRPr="00B701D2">
        <w:rPr>
          <w:rFonts w:eastAsia="仿宋_GB2312"/>
          <w:sz w:val="32"/>
          <w:szCs w:val="32"/>
        </w:rPr>
        <w:t>MPA</w:t>
      </w:r>
      <w:r w:rsidRPr="00B701D2">
        <w:rPr>
          <w:rFonts w:eastAsia="仿宋_GB2312"/>
          <w:sz w:val="32"/>
          <w:szCs w:val="32"/>
        </w:rPr>
        <w:t>的暴露水平进行监测，并相应地调整本品的剂量，以维持临床疗效。</w:t>
      </w:r>
    </w:p>
    <w:p w:rsidR="00D61E64" w:rsidRPr="00A2557F" w:rsidRDefault="00D61E64" w:rsidP="00D61E64">
      <w:pPr>
        <w:spacing w:line="600" w:lineRule="exact"/>
        <w:ind w:firstLineChars="200" w:firstLine="640"/>
        <w:rPr>
          <w:rFonts w:ascii="仿宋" w:eastAsia="仿宋" w:hAnsi="仿宋"/>
          <w:sz w:val="32"/>
          <w:szCs w:val="32"/>
          <w:lang w:val="de-DE"/>
        </w:rPr>
      </w:pPr>
      <w:r w:rsidRPr="00B701D2">
        <w:rPr>
          <w:rFonts w:eastAsia="仿宋_GB2312"/>
          <w:sz w:val="32"/>
          <w:szCs w:val="32"/>
        </w:rPr>
        <w:t>他克莫司：在接受肝脏移植的患者中，合并使用他克莫司和</w:t>
      </w:r>
      <w:r w:rsidRPr="00B701D2">
        <w:rPr>
          <w:rFonts w:eastAsia="仿宋_GB2312"/>
          <w:sz w:val="32"/>
          <w:szCs w:val="32"/>
        </w:rPr>
        <w:lastRenderedPageBreak/>
        <w:t>本品对</w:t>
      </w:r>
      <w:r w:rsidRPr="00B701D2">
        <w:rPr>
          <w:rFonts w:eastAsia="仿宋_GB2312"/>
          <w:sz w:val="32"/>
          <w:szCs w:val="32"/>
        </w:rPr>
        <w:t>MPA</w:t>
      </w:r>
      <w:r w:rsidRPr="00B701D2">
        <w:rPr>
          <w:rFonts w:eastAsia="仿宋_GB2312"/>
          <w:sz w:val="32"/>
          <w:szCs w:val="32"/>
        </w:rPr>
        <w:t>的</w:t>
      </w:r>
      <w:r w:rsidRPr="00B701D2">
        <w:rPr>
          <w:rFonts w:eastAsia="仿宋_GB2312"/>
          <w:sz w:val="32"/>
          <w:szCs w:val="32"/>
        </w:rPr>
        <w:t>AUC</w:t>
      </w:r>
      <w:r w:rsidRPr="00B701D2">
        <w:rPr>
          <w:rFonts w:eastAsia="仿宋_GB2312"/>
          <w:sz w:val="32"/>
          <w:szCs w:val="32"/>
        </w:rPr>
        <w:t>或</w:t>
      </w:r>
      <w:r w:rsidRPr="00B701D2">
        <w:rPr>
          <w:rFonts w:eastAsia="仿宋_GB2312"/>
          <w:sz w:val="32"/>
          <w:szCs w:val="32"/>
        </w:rPr>
        <w:t>C</w:t>
      </w:r>
      <w:r w:rsidRPr="00B701D2">
        <w:rPr>
          <w:rFonts w:eastAsia="仿宋"/>
          <w:sz w:val="32"/>
          <w:szCs w:val="32"/>
          <w:vertAlign w:val="subscript"/>
        </w:rPr>
        <w:t>max</w:t>
      </w:r>
      <w:r w:rsidRPr="00B701D2">
        <w:rPr>
          <w:rFonts w:eastAsia="仿宋_GB2312"/>
          <w:sz w:val="32"/>
          <w:szCs w:val="32"/>
        </w:rPr>
        <w:t>没有影响。最近在肾移植</w:t>
      </w:r>
      <w:r w:rsidRPr="00B701D2">
        <w:rPr>
          <w:rFonts w:eastAsia="仿宋_GB2312" w:hint="eastAsia"/>
          <w:sz w:val="32"/>
          <w:szCs w:val="32"/>
        </w:rPr>
        <w:t>受者</w:t>
      </w:r>
      <w:r w:rsidRPr="00B701D2">
        <w:rPr>
          <w:rFonts w:eastAsia="仿宋_GB2312"/>
          <w:sz w:val="32"/>
          <w:szCs w:val="32"/>
        </w:rPr>
        <w:t>中进行的一项研究也观察到了类似结果。</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在肾移植受者中发现，本品不会改变他克莫司的浓度。</w:t>
      </w:r>
    </w:p>
    <w:p w:rsidR="00D61E64" w:rsidRPr="00B701D2" w:rsidRDefault="00D61E64" w:rsidP="00D61E64">
      <w:pPr>
        <w:spacing w:line="600" w:lineRule="exact"/>
        <w:ind w:firstLineChars="200" w:firstLine="640"/>
        <w:rPr>
          <w:rFonts w:eastAsia="仿宋_GB2312"/>
          <w:sz w:val="32"/>
          <w:szCs w:val="32"/>
        </w:rPr>
      </w:pPr>
      <w:r w:rsidRPr="00B701D2">
        <w:rPr>
          <w:rFonts w:eastAsia="仿宋_GB2312"/>
          <w:sz w:val="32"/>
          <w:szCs w:val="32"/>
        </w:rPr>
        <w:t>但是在肝脏移植受者中，给予他克莫司服用者多剂本品（</w:t>
      </w:r>
      <w:r w:rsidRPr="00B701D2">
        <w:rPr>
          <w:rFonts w:eastAsia="仿宋_GB2312"/>
          <w:sz w:val="32"/>
          <w:szCs w:val="32"/>
        </w:rPr>
        <w:t>1.5g</w:t>
      </w:r>
      <w:r w:rsidRPr="00B701D2">
        <w:rPr>
          <w:rFonts w:eastAsia="仿宋_GB2312"/>
          <w:sz w:val="32"/>
          <w:szCs w:val="32"/>
        </w:rPr>
        <w:t>，一天两次）后，他克莫司的</w:t>
      </w:r>
      <w:r w:rsidRPr="00B701D2">
        <w:rPr>
          <w:rFonts w:eastAsia="仿宋_GB2312"/>
          <w:sz w:val="32"/>
          <w:szCs w:val="32"/>
        </w:rPr>
        <w:t>AUC</w:t>
      </w:r>
      <w:r w:rsidRPr="00B701D2">
        <w:rPr>
          <w:rFonts w:eastAsia="仿宋_GB2312"/>
          <w:sz w:val="32"/>
          <w:szCs w:val="32"/>
        </w:rPr>
        <w:t>大约增加</w:t>
      </w:r>
      <w:r w:rsidRPr="00B701D2">
        <w:rPr>
          <w:rFonts w:eastAsia="仿宋_GB2312"/>
          <w:sz w:val="32"/>
          <w:szCs w:val="32"/>
        </w:rPr>
        <w:t>20%</w:t>
      </w:r>
      <w:r w:rsidRPr="00B701D2">
        <w:rPr>
          <w:rFonts w:eastAsia="仿宋_GB2312"/>
          <w:sz w:val="32"/>
          <w:szCs w:val="32"/>
        </w:rPr>
        <w:t>。</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小肠内清除产</w:t>
      </w:r>
      <w:r w:rsidRPr="00B701D2">
        <w:rPr>
          <w:rFonts w:eastAsia="仿宋_GB2312"/>
          <w:kern w:val="0"/>
          <w:sz w:val="32"/>
          <w:szCs w:val="32"/>
        </w:rPr>
        <w:t>β-</w:t>
      </w:r>
      <w:r w:rsidRPr="00B701D2">
        <w:rPr>
          <w:rFonts w:eastAsia="仿宋_GB2312" w:hint="eastAsia"/>
          <w:kern w:val="0"/>
          <w:sz w:val="32"/>
          <w:szCs w:val="32"/>
        </w:rPr>
        <w:t>葡萄糖醛酸酶细菌的抗生素（如：氨基糖苷、头孢菌素、氟喹诺酮和青霉素类）可能会干扰</w:t>
      </w:r>
      <w:r w:rsidRPr="00B701D2">
        <w:rPr>
          <w:rFonts w:eastAsia="仿宋_GB2312"/>
          <w:kern w:val="0"/>
          <w:sz w:val="32"/>
          <w:szCs w:val="32"/>
        </w:rPr>
        <w:t>MPAG/MPA</w:t>
      </w:r>
      <w:r w:rsidRPr="00B701D2">
        <w:rPr>
          <w:rFonts w:eastAsia="仿宋_GB2312" w:hint="eastAsia"/>
          <w:kern w:val="0"/>
          <w:sz w:val="32"/>
          <w:szCs w:val="32"/>
        </w:rPr>
        <w:t>肠肝循环，进一步导致</w:t>
      </w:r>
      <w:r w:rsidRPr="00B701D2">
        <w:rPr>
          <w:rFonts w:eastAsia="仿宋_GB2312"/>
          <w:kern w:val="0"/>
          <w:sz w:val="32"/>
          <w:szCs w:val="32"/>
        </w:rPr>
        <w:t>MPA</w:t>
      </w:r>
      <w:r w:rsidRPr="00B701D2">
        <w:rPr>
          <w:rFonts w:eastAsia="仿宋_GB2312" w:hint="eastAsia"/>
          <w:kern w:val="0"/>
          <w:sz w:val="32"/>
          <w:szCs w:val="32"/>
        </w:rPr>
        <w:t>全身暴露减少。</w:t>
      </w:r>
    </w:p>
    <w:p w:rsidR="00D61E64" w:rsidRPr="00B701D2" w:rsidRDefault="00D61E64" w:rsidP="00D61E64">
      <w:pPr>
        <w:widowControl/>
        <w:spacing w:line="600" w:lineRule="exact"/>
        <w:ind w:firstLineChars="200" w:firstLine="640"/>
        <w:rPr>
          <w:rFonts w:eastAsia="仿宋_GB2312"/>
          <w:kern w:val="0"/>
          <w:sz w:val="32"/>
          <w:szCs w:val="32"/>
        </w:rPr>
      </w:pPr>
      <w:r w:rsidRPr="00B701D2">
        <w:rPr>
          <w:rFonts w:eastAsia="仿宋_GB2312" w:hint="eastAsia"/>
          <w:kern w:val="0"/>
          <w:sz w:val="32"/>
          <w:szCs w:val="32"/>
        </w:rPr>
        <w:t>有关下述抗生素的可用信息：</w:t>
      </w:r>
    </w:p>
    <w:p w:rsidR="00D61E64" w:rsidRPr="00B701D2" w:rsidRDefault="00D61E64" w:rsidP="00D61E64">
      <w:pPr>
        <w:widowControl/>
        <w:spacing w:line="600" w:lineRule="exact"/>
        <w:ind w:firstLineChars="200" w:firstLine="640"/>
        <w:rPr>
          <w:rFonts w:eastAsia="仿宋_GB2312"/>
          <w:kern w:val="0"/>
          <w:sz w:val="32"/>
          <w:szCs w:val="32"/>
          <w:lang w:val="de-DE"/>
        </w:rPr>
      </w:pPr>
      <w:r w:rsidRPr="00B701D2">
        <w:rPr>
          <w:rFonts w:eastAsia="仿宋_GB2312" w:hint="eastAsia"/>
          <w:kern w:val="0"/>
          <w:sz w:val="32"/>
          <w:szCs w:val="32"/>
          <w:lang w:val="de-DE"/>
        </w:rPr>
        <w:t>环丙沙星或阿莫西林克拉维酸：据报道，肾脏移植受者口服环丙沙星或阿莫西林克拉维酸后，</w:t>
      </w:r>
      <w:r w:rsidRPr="00B701D2">
        <w:rPr>
          <w:rFonts w:eastAsia="仿宋_GB2312"/>
          <w:kern w:val="0"/>
          <w:sz w:val="32"/>
          <w:szCs w:val="32"/>
          <w:lang w:val="de-DE"/>
        </w:rPr>
        <w:t>MPA</w:t>
      </w:r>
      <w:r w:rsidRPr="00B701D2">
        <w:rPr>
          <w:rFonts w:eastAsia="仿宋_GB2312" w:hint="eastAsia"/>
          <w:kern w:val="0"/>
          <w:sz w:val="32"/>
          <w:szCs w:val="32"/>
          <w:lang w:val="de-DE"/>
        </w:rPr>
        <w:t>初始剂量浓度（谷值）在服药当天随即降低</w:t>
      </w:r>
      <w:r w:rsidRPr="00B701D2">
        <w:rPr>
          <w:rFonts w:eastAsia="仿宋_GB2312"/>
          <w:kern w:val="0"/>
          <w:sz w:val="32"/>
          <w:szCs w:val="32"/>
          <w:lang w:val="de-DE"/>
        </w:rPr>
        <w:t>54%</w:t>
      </w:r>
      <w:r w:rsidRPr="00B701D2">
        <w:rPr>
          <w:rFonts w:eastAsia="仿宋_GB2312" w:hint="eastAsia"/>
          <w:kern w:val="0"/>
          <w:sz w:val="32"/>
          <w:szCs w:val="32"/>
          <w:lang w:val="de-DE"/>
        </w:rPr>
        <w:t>。持续服用抗生素，这一作用有减弱的趋势，停药后该作用消失。初始剂量水平的改变可能并不能准确反映</w:t>
      </w:r>
      <w:r w:rsidRPr="00B701D2">
        <w:rPr>
          <w:rFonts w:eastAsia="仿宋_GB2312"/>
          <w:kern w:val="0"/>
          <w:sz w:val="32"/>
          <w:szCs w:val="32"/>
          <w:lang w:val="de-DE"/>
        </w:rPr>
        <w:t>MPA</w:t>
      </w:r>
      <w:r w:rsidRPr="00B701D2">
        <w:rPr>
          <w:rFonts w:eastAsia="仿宋_GB2312" w:hint="eastAsia"/>
          <w:kern w:val="0"/>
          <w:sz w:val="32"/>
          <w:szCs w:val="32"/>
          <w:lang w:val="de-DE"/>
        </w:rPr>
        <w:t>的全身暴露量，因此尚不清楚这些观察结果的临床相关性。</w:t>
      </w:r>
    </w:p>
    <w:p w:rsidR="00D61E64" w:rsidRPr="00A2557F" w:rsidRDefault="00D61E64" w:rsidP="00D61E64">
      <w:pPr>
        <w:widowControl/>
        <w:spacing w:line="600" w:lineRule="exact"/>
        <w:ind w:firstLineChars="200" w:firstLine="640"/>
        <w:rPr>
          <w:rFonts w:ascii="仿宋" w:eastAsia="仿宋" w:hAnsi="仿宋"/>
          <w:kern w:val="0"/>
          <w:sz w:val="32"/>
          <w:szCs w:val="32"/>
        </w:rPr>
      </w:pPr>
      <w:r w:rsidRPr="00B701D2">
        <w:rPr>
          <w:rFonts w:eastAsia="仿宋_GB2312" w:hint="eastAsia"/>
          <w:kern w:val="0"/>
          <w:sz w:val="32"/>
          <w:szCs w:val="32"/>
          <w:lang w:val="de-DE"/>
        </w:rPr>
        <w:t>诺氟沙星和甲硝唑：单次给予本品后，联合使用诺氟沙星和甲硝唑导致</w:t>
      </w:r>
      <w:r w:rsidRPr="00B701D2">
        <w:rPr>
          <w:rFonts w:eastAsia="仿宋_GB2312"/>
          <w:kern w:val="0"/>
          <w:sz w:val="32"/>
          <w:szCs w:val="32"/>
          <w:lang w:val="de-DE"/>
        </w:rPr>
        <w:t>MPA</w:t>
      </w:r>
      <w:r w:rsidRPr="00B701D2">
        <w:rPr>
          <w:rFonts w:eastAsia="仿宋_GB2312" w:hint="eastAsia"/>
          <w:kern w:val="0"/>
          <w:sz w:val="32"/>
          <w:szCs w:val="32"/>
          <w:lang w:val="de-DE"/>
        </w:rPr>
        <w:t>的</w:t>
      </w:r>
      <w:r w:rsidRPr="00B701D2">
        <w:rPr>
          <w:rFonts w:eastAsia="仿宋_GB2312"/>
          <w:kern w:val="0"/>
          <w:sz w:val="32"/>
          <w:szCs w:val="32"/>
          <w:lang w:val="de-DE"/>
        </w:rPr>
        <w:t>AUC</w:t>
      </w:r>
      <w:r w:rsidRPr="00B701D2">
        <w:rPr>
          <w:rFonts w:eastAsia="仿宋"/>
          <w:kern w:val="0"/>
          <w:sz w:val="32"/>
          <w:szCs w:val="32"/>
          <w:vertAlign w:val="subscript"/>
        </w:rPr>
        <w:t>0</w:t>
      </w:r>
      <w:r w:rsidRPr="00B701D2">
        <w:rPr>
          <w:rFonts w:eastAsia="仿宋_GB2312" w:hint="eastAsia"/>
          <w:sz w:val="32"/>
          <w:szCs w:val="32"/>
          <w:vertAlign w:val="subscript"/>
        </w:rPr>
        <w:t>—</w:t>
      </w:r>
      <w:r w:rsidRPr="00B701D2">
        <w:rPr>
          <w:rFonts w:eastAsia="仿宋"/>
          <w:kern w:val="0"/>
          <w:sz w:val="32"/>
          <w:szCs w:val="32"/>
          <w:vertAlign w:val="subscript"/>
        </w:rPr>
        <w:t>48</w:t>
      </w:r>
      <w:r w:rsidRPr="00B701D2">
        <w:rPr>
          <w:rFonts w:eastAsia="仿宋_GB2312" w:hint="eastAsia"/>
          <w:kern w:val="0"/>
          <w:sz w:val="32"/>
          <w:szCs w:val="32"/>
          <w:lang w:val="de-DE"/>
        </w:rPr>
        <w:t>降低</w:t>
      </w:r>
      <w:r w:rsidRPr="00B701D2">
        <w:rPr>
          <w:rFonts w:eastAsia="仿宋_GB2312"/>
          <w:kern w:val="0"/>
          <w:sz w:val="32"/>
          <w:szCs w:val="32"/>
          <w:lang w:val="de-DE"/>
        </w:rPr>
        <w:t>30%</w:t>
      </w:r>
      <w:r w:rsidRPr="00B701D2">
        <w:rPr>
          <w:rFonts w:eastAsia="仿宋_GB2312" w:hint="eastAsia"/>
          <w:kern w:val="0"/>
          <w:sz w:val="32"/>
          <w:szCs w:val="32"/>
          <w:lang w:val="de-DE"/>
        </w:rPr>
        <w:t>。将本品与其中任何一种抗生素单独联合使用不会对</w:t>
      </w:r>
      <w:r w:rsidRPr="00B701D2">
        <w:rPr>
          <w:rFonts w:eastAsia="仿宋_GB2312"/>
          <w:kern w:val="0"/>
          <w:sz w:val="32"/>
          <w:szCs w:val="32"/>
          <w:lang w:val="de-DE"/>
        </w:rPr>
        <w:t>MPA</w:t>
      </w:r>
      <w:r w:rsidRPr="00B701D2">
        <w:rPr>
          <w:rFonts w:eastAsia="仿宋_GB2312" w:hint="eastAsia"/>
          <w:kern w:val="0"/>
          <w:sz w:val="32"/>
          <w:szCs w:val="32"/>
          <w:lang w:val="de-DE"/>
        </w:rPr>
        <w:t>全身暴露产生影响。</w:t>
      </w:r>
    </w:p>
    <w:p w:rsidR="00D61E64" w:rsidRPr="00A2557F" w:rsidRDefault="00D61E64" w:rsidP="00D61E64">
      <w:pPr>
        <w:widowControl/>
        <w:spacing w:line="600" w:lineRule="exact"/>
        <w:ind w:firstLineChars="200" w:firstLine="640"/>
        <w:rPr>
          <w:rFonts w:ascii="仿宋" w:eastAsia="仿宋" w:hAnsi="仿宋"/>
          <w:kern w:val="0"/>
          <w:sz w:val="32"/>
          <w:szCs w:val="32"/>
        </w:rPr>
      </w:pPr>
      <w:r w:rsidRPr="00B701D2">
        <w:rPr>
          <w:rFonts w:eastAsia="仿宋_GB2312" w:hint="eastAsia"/>
          <w:kern w:val="0"/>
          <w:sz w:val="32"/>
          <w:szCs w:val="32"/>
          <w:lang w:val="de-DE"/>
        </w:rPr>
        <w:t>甲氧苄啶</w:t>
      </w:r>
      <w:r w:rsidRPr="00B701D2">
        <w:rPr>
          <w:rFonts w:eastAsia="仿宋_GB2312"/>
          <w:kern w:val="0"/>
          <w:sz w:val="32"/>
          <w:szCs w:val="32"/>
          <w:lang w:val="de-DE"/>
        </w:rPr>
        <w:t>/</w:t>
      </w:r>
      <w:r w:rsidRPr="00B701D2">
        <w:rPr>
          <w:rFonts w:eastAsia="仿宋_GB2312" w:hint="eastAsia"/>
          <w:kern w:val="0"/>
          <w:sz w:val="32"/>
          <w:szCs w:val="32"/>
          <w:lang w:val="de-DE"/>
        </w:rPr>
        <w:t>磺胺甲基异</w:t>
      </w:r>
      <w:r w:rsidRPr="00A2557F">
        <w:rPr>
          <w:rFonts w:ascii="仿宋" w:eastAsia="仿宋" w:hAnsi="仿宋" w:hint="eastAsia"/>
          <w:kern w:val="0"/>
          <w:sz w:val="32"/>
          <w:szCs w:val="32"/>
        </w:rPr>
        <w:t>噁</w:t>
      </w:r>
      <w:r w:rsidRPr="00B701D2">
        <w:rPr>
          <w:rFonts w:eastAsia="仿宋_GB2312" w:hint="eastAsia"/>
          <w:kern w:val="0"/>
          <w:sz w:val="32"/>
          <w:szCs w:val="32"/>
          <w:lang w:val="de-DE"/>
        </w:rPr>
        <w:t>唑：联合使用甲氧苄啶</w:t>
      </w:r>
      <w:r w:rsidRPr="00B701D2">
        <w:rPr>
          <w:rFonts w:eastAsia="仿宋_GB2312"/>
          <w:kern w:val="0"/>
          <w:sz w:val="32"/>
          <w:szCs w:val="32"/>
          <w:lang w:val="de-DE"/>
        </w:rPr>
        <w:t>/</w:t>
      </w:r>
      <w:r w:rsidRPr="00B701D2">
        <w:rPr>
          <w:rFonts w:eastAsia="仿宋_GB2312" w:hint="eastAsia"/>
          <w:kern w:val="0"/>
          <w:sz w:val="32"/>
          <w:szCs w:val="32"/>
          <w:lang w:val="de-DE"/>
        </w:rPr>
        <w:t>磺胺甲基异</w:t>
      </w:r>
      <w:r w:rsidRPr="00A2557F">
        <w:rPr>
          <w:rFonts w:ascii="仿宋" w:eastAsia="仿宋" w:hAnsi="仿宋" w:hint="eastAsia"/>
          <w:kern w:val="0"/>
          <w:sz w:val="32"/>
          <w:szCs w:val="32"/>
        </w:rPr>
        <w:t>噁</w:t>
      </w:r>
      <w:r w:rsidRPr="00B701D2">
        <w:rPr>
          <w:rFonts w:eastAsia="仿宋_GB2312" w:hint="eastAsia"/>
          <w:kern w:val="0"/>
          <w:sz w:val="32"/>
          <w:szCs w:val="32"/>
          <w:lang w:val="de-DE"/>
        </w:rPr>
        <w:t>唑时，对</w:t>
      </w:r>
      <w:r w:rsidRPr="00B701D2">
        <w:rPr>
          <w:rFonts w:eastAsia="仿宋_GB2312"/>
          <w:kern w:val="0"/>
          <w:sz w:val="32"/>
          <w:szCs w:val="32"/>
          <w:lang w:val="de-DE"/>
        </w:rPr>
        <w:t>MPA</w:t>
      </w:r>
      <w:r w:rsidRPr="00B701D2">
        <w:rPr>
          <w:rFonts w:eastAsia="仿宋_GB2312" w:hint="eastAsia"/>
          <w:kern w:val="0"/>
          <w:sz w:val="32"/>
          <w:szCs w:val="32"/>
          <w:lang w:val="de-DE"/>
        </w:rPr>
        <w:t>（</w:t>
      </w:r>
      <w:r w:rsidRPr="00B701D2">
        <w:rPr>
          <w:rFonts w:eastAsia="仿宋_GB2312"/>
          <w:kern w:val="0"/>
          <w:sz w:val="32"/>
          <w:szCs w:val="32"/>
          <w:lang w:val="de-DE"/>
        </w:rPr>
        <w:t>AUC</w:t>
      </w:r>
      <w:r w:rsidRPr="00B701D2">
        <w:rPr>
          <w:rFonts w:eastAsia="仿宋_GB2312" w:hint="eastAsia"/>
          <w:kern w:val="0"/>
          <w:sz w:val="32"/>
          <w:szCs w:val="32"/>
          <w:lang w:val="de-DE"/>
        </w:rPr>
        <w:t>，</w:t>
      </w:r>
      <w:r w:rsidRPr="00B701D2">
        <w:rPr>
          <w:rFonts w:eastAsia="仿宋_GB2312"/>
          <w:kern w:val="0"/>
          <w:sz w:val="32"/>
          <w:szCs w:val="32"/>
          <w:lang w:val="de-DE"/>
        </w:rPr>
        <w:t>C</w:t>
      </w:r>
      <w:r w:rsidRPr="00B701D2">
        <w:rPr>
          <w:rFonts w:eastAsia="仿宋_GB2312"/>
          <w:kern w:val="0"/>
          <w:sz w:val="32"/>
          <w:szCs w:val="32"/>
          <w:vertAlign w:val="subscript"/>
          <w:lang w:val="de-DE"/>
        </w:rPr>
        <w:t>max</w:t>
      </w:r>
      <w:r w:rsidRPr="00B701D2">
        <w:rPr>
          <w:rFonts w:eastAsia="仿宋_GB2312" w:hint="eastAsia"/>
          <w:kern w:val="0"/>
          <w:sz w:val="32"/>
          <w:szCs w:val="32"/>
          <w:lang w:val="de-DE"/>
        </w:rPr>
        <w:t>）的全身暴露量无影响。</w:t>
      </w:r>
    </w:p>
    <w:p w:rsidR="00D61E64" w:rsidRPr="00B701D2" w:rsidRDefault="00D61E64" w:rsidP="00D61E64">
      <w:pPr>
        <w:spacing w:line="600" w:lineRule="exact"/>
        <w:ind w:firstLineChars="200" w:firstLine="640"/>
        <w:rPr>
          <w:rFonts w:eastAsia="仿宋_GB2312"/>
          <w:kern w:val="0"/>
          <w:sz w:val="32"/>
          <w:szCs w:val="32"/>
          <w:lang w:val="de-DE"/>
        </w:rPr>
      </w:pPr>
      <w:r w:rsidRPr="00B701D2">
        <w:rPr>
          <w:rFonts w:eastAsia="仿宋_GB2312"/>
          <w:kern w:val="0"/>
          <w:sz w:val="32"/>
          <w:szCs w:val="32"/>
          <w:lang w:val="de-DE"/>
        </w:rPr>
        <w:t>其它相互作用：本品与丙磺舒合用，在猴子试验中可使血浆</w:t>
      </w:r>
      <w:r w:rsidRPr="00B701D2">
        <w:rPr>
          <w:rFonts w:eastAsia="仿宋_GB2312"/>
          <w:kern w:val="0"/>
          <w:sz w:val="32"/>
          <w:szCs w:val="32"/>
          <w:lang w:val="de-DE"/>
        </w:rPr>
        <w:t>MPAG AUC</w:t>
      </w:r>
      <w:r w:rsidRPr="00B701D2">
        <w:rPr>
          <w:rFonts w:eastAsia="仿宋_GB2312"/>
          <w:kern w:val="0"/>
          <w:sz w:val="32"/>
          <w:szCs w:val="32"/>
          <w:lang w:val="de-DE"/>
        </w:rPr>
        <w:t>升高</w:t>
      </w:r>
      <w:r w:rsidRPr="00B701D2">
        <w:rPr>
          <w:rFonts w:eastAsia="仿宋_GB2312"/>
          <w:kern w:val="0"/>
          <w:sz w:val="32"/>
          <w:szCs w:val="32"/>
          <w:lang w:val="de-DE"/>
        </w:rPr>
        <w:t>3</w:t>
      </w:r>
      <w:r w:rsidRPr="00B701D2">
        <w:rPr>
          <w:rFonts w:eastAsia="仿宋_GB2312"/>
          <w:kern w:val="0"/>
          <w:sz w:val="32"/>
          <w:szCs w:val="32"/>
          <w:lang w:val="de-DE"/>
        </w:rPr>
        <w:t>倍。因此，其他</w:t>
      </w:r>
      <w:r w:rsidRPr="00B701D2">
        <w:rPr>
          <w:rFonts w:eastAsia="仿宋_GB2312" w:hint="eastAsia"/>
          <w:kern w:val="0"/>
          <w:sz w:val="32"/>
          <w:szCs w:val="32"/>
          <w:lang w:val="de-DE"/>
        </w:rPr>
        <w:t>已知</w:t>
      </w:r>
      <w:r w:rsidRPr="00B701D2">
        <w:rPr>
          <w:rFonts w:eastAsia="仿宋_GB2312"/>
          <w:kern w:val="0"/>
          <w:sz w:val="32"/>
          <w:szCs w:val="32"/>
          <w:lang w:val="de-DE"/>
        </w:rPr>
        <w:t>从肾小管分泌的药物都</w:t>
      </w:r>
      <w:r w:rsidRPr="00B701D2">
        <w:rPr>
          <w:rFonts w:eastAsia="仿宋_GB2312"/>
          <w:kern w:val="0"/>
          <w:sz w:val="32"/>
          <w:szCs w:val="32"/>
          <w:lang w:val="de-DE"/>
        </w:rPr>
        <w:lastRenderedPageBreak/>
        <w:t>可能与</w:t>
      </w:r>
      <w:r w:rsidRPr="00B701D2">
        <w:rPr>
          <w:rFonts w:eastAsia="仿宋_GB2312"/>
          <w:kern w:val="0"/>
          <w:sz w:val="32"/>
          <w:szCs w:val="32"/>
          <w:lang w:val="de-DE"/>
        </w:rPr>
        <w:t>MPAG</w:t>
      </w:r>
      <w:r w:rsidRPr="00B701D2">
        <w:rPr>
          <w:rFonts w:eastAsia="仿宋_GB2312"/>
          <w:kern w:val="0"/>
          <w:sz w:val="32"/>
          <w:szCs w:val="32"/>
          <w:lang w:val="de-DE"/>
        </w:rPr>
        <w:t>竞争，因此可使</w:t>
      </w:r>
      <w:r w:rsidRPr="00B701D2">
        <w:rPr>
          <w:rFonts w:eastAsia="仿宋_GB2312"/>
          <w:kern w:val="0"/>
          <w:sz w:val="32"/>
          <w:szCs w:val="32"/>
          <w:lang w:val="de-DE"/>
        </w:rPr>
        <w:t>MPAG</w:t>
      </w:r>
      <w:r w:rsidRPr="00B701D2">
        <w:rPr>
          <w:rFonts w:eastAsia="仿宋_GB2312"/>
          <w:kern w:val="0"/>
          <w:sz w:val="32"/>
          <w:szCs w:val="32"/>
          <w:lang w:val="de-DE"/>
        </w:rPr>
        <w:t>和其他通过肾小管分泌的药物</w:t>
      </w:r>
      <w:r w:rsidRPr="00B701D2">
        <w:rPr>
          <w:rFonts w:eastAsia="仿宋_GB2312" w:hint="eastAsia"/>
          <w:kern w:val="0"/>
          <w:sz w:val="32"/>
          <w:szCs w:val="32"/>
          <w:lang w:val="de-DE"/>
        </w:rPr>
        <w:t>血浆</w:t>
      </w:r>
      <w:r w:rsidRPr="00B701D2">
        <w:rPr>
          <w:rFonts w:eastAsia="仿宋_GB2312"/>
          <w:kern w:val="0"/>
          <w:sz w:val="32"/>
          <w:szCs w:val="32"/>
          <w:lang w:val="de-DE"/>
        </w:rPr>
        <w:t>浓度升高。</w:t>
      </w:r>
    </w:p>
    <w:p w:rsidR="00D61E64" w:rsidRPr="00B701D2" w:rsidRDefault="00D61E64" w:rsidP="00D61E64">
      <w:pPr>
        <w:spacing w:line="600" w:lineRule="exact"/>
        <w:ind w:firstLineChars="200" w:firstLine="640"/>
        <w:rPr>
          <w:rFonts w:eastAsia="仿宋_GB2312"/>
          <w:kern w:val="0"/>
          <w:sz w:val="32"/>
          <w:szCs w:val="32"/>
          <w:lang w:val="de-DE"/>
        </w:rPr>
      </w:pPr>
      <w:r w:rsidRPr="00B701D2">
        <w:rPr>
          <w:rFonts w:eastAsia="仿宋_GB2312"/>
          <w:kern w:val="0"/>
          <w:sz w:val="32"/>
          <w:szCs w:val="32"/>
          <w:lang w:val="de-DE"/>
        </w:rPr>
        <w:t>在成人和儿童患者中，合并使用司维拉姆和本品可以使</w:t>
      </w:r>
      <w:r w:rsidRPr="00B701D2">
        <w:rPr>
          <w:rFonts w:eastAsia="仿宋_GB2312"/>
          <w:kern w:val="0"/>
          <w:sz w:val="32"/>
          <w:szCs w:val="32"/>
          <w:lang w:val="de-DE"/>
        </w:rPr>
        <w:t>MPA</w:t>
      </w:r>
      <w:r w:rsidRPr="00B701D2">
        <w:rPr>
          <w:rFonts w:eastAsia="仿宋_GB2312"/>
          <w:kern w:val="0"/>
          <w:sz w:val="32"/>
          <w:szCs w:val="32"/>
          <w:lang w:val="de-DE"/>
        </w:rPr>
        <w:t>的</w:t>
      </w:r>
      <w:r w:rsidRPr="00B701D2">
        <w:rPr>
          <w:rFonts w:eastAsia="仿宋_GB2312"/>
          <w:kern w:val="0"/>
          <w:sz w:val="32"/>
          <w:szCs w:val="32"/>
          <w:lang w:val="de-DE"/>
        </w:rPr>
        <w:t>C</w:t>
      </w:r>
      <w:r w:rsidRPr="00B701D2">
        <w:rPr>
          <w:rFonts w:eastAsia="仿宋"/>
          <w:sz w:val="32"/>
          <w:szCs w:val="32"/>
          <w:vertAlign w:val="subscript"/>
          <w:lang w:val="de-DE"/>
        </w:rPr>
        <w:t>max</w:t>
      </w:r>
      <w:r w:rsidRPr="00B701D2">
        <w:rPr>
          <w:rFonts w:eastAsia="仿宋_GB2312"/>
          <w:kern w:val="0"/>
          <w:sz w:val="32"/>
          <w:szCs w:val="32"/>
          <w:lang w:val="de-DE"/>
        </w:rPr>
        <w:t>和</w:t>
      </w:r>
      <w:r w:rsidRPr="00B701D2">
        <w:rPr>
          <w:rFonts w:eastAsia="仿宋_GB2312"/>
          <w:kern w:val="0"/>
          <w:sz w:val="32"/>
          <w:szCs w:val="32"/>
          <w:lang w:val="de-DE"/>
        </w:rPr>
        <w:t>AUC</w:t>
      </w:r>
      <w:r w:rsidRPr="00B701D2">
        <w:rPr>
          <w:rFonts w:eastAsia="仿宋"/>
          <w:sz w:val="32"/>
          <w:szCs w:val="32"/>
          <w:vertAlign w:val="subscript"/>
          <w:lang w:val="de-DE"/>
        </w:rPr>
        <w:t>0</w:t>
      </w:r>
      <w:r w:rsidRPr="00B701D2">
        <w:rPr>
          <w:rFonts w:eastAsia="仿宋_GB2312" w:hint="eastAsia"/>
          <w:sz w:val="32"/>
          <w:szCs w:val="32"/>
          <w:vertAlign w:val="subscript"/>
          <w:lang w:val="de-DE"/>
        </w:rPr>
        <w:t>—</w:t>
      </w:r>
      <w:r w:rsidRPr="00B701D2">
        <w:rPr>
          <w:rFonts w:eastAsia="仿宋"/>
          <w:sz w:val="32"/>
          <w:szCs w:val="32"/>
          <w:vertAlign w:val="subscript"/>
          <w:lang w:val="de-DE"/>
        </w:rPr>
        <w:t>12</w:t>
      </w:r>
      <w:r w:rsidRPr="00B701D2">
        <w:rPr>
          <w:rFonts w:eastAsia="仿宋_GB2312"/>
          <w:kern w:val="0"/>
          <w:sz w:val="32"/>
          <w:szCs w:val="32"/>
          <w:lang w:val="de-DE"/>
        </w:rPr>
        <w:t>分别降低</w:t>
      </w:r>
      <w:r w:rsidRPr="00B701D2">
        <w:rPr>
          <w:rFonts w:eastAsia="仿宋_GB2312"/>
          <w:kern w:val="0"/>
          <w:sz w:val="32"/>
          <w:szCs w:val="32"/>
          <w:lang w:val="de-DE"/>
        </w:rPr>
        <w:t>30%</w:t>
      </w:r>
      <w:r w:rsidRPr="00B701D2">
        <w:rPr>
          <w:rFonts w:eastAsia="仿宋_GB2312"/>
          <w:kern w:val="0"/>
          <w:sz w:val="32"/>
          <w:szCs w:val="32"/>
          <w:lang w:val="de-DE"/>
        </w:rPr>
        <w:t>和</w:t>
      </w:r>
      <w:r w:rsidRPr="00B701D2">
        <w:rPr>
          <w:rFonts w:eastAsia="仿宋_GB2312"/>
          <w:kern w:val="0"/>
          <w:sz w:val="32"/>
          <w:szCs w:val="32"/>
          <w:lang w:val="de-DE"/>
        </w:rPr>
        <w:t>25%</w:t>
      </w:r>
      <w:r w:rsidRPr="00B701D2">
        <w:rPr>
          <w:rFonts w:eastAsia="仿宋_GB2312"/>
          <w:kern w:val="0"/>
          <w:sz w:val="32"/>
          <w:szCs w:val="32"/>
          <w:lang w:val="de-DE"/>
        </w:rPr>
        <w:t>。这些数据表明，</w:t>
      </w:r>
      <w:r w:rsidRPr="00B701D2">
        <w:rPr>
          <w:rFonts w:eastAsia="仿宋_GB2312" w:hint="eastAsia"/>
          <w:kern w:val="0"/>
          <w:sz w:val="32"/>
          <w:szCs w:val="32"/>
          <w:lang w:val="de-DE"/>
        </w:rPr>
        <w:t>应</w:t>
      </w:r>
      <w:r w:rsidRPr="00B701D2">
        <w:rPr>
          <w:rFonts w:eastAsia="仿宋_GB2312"/>
          <w:kern w:val="0"/>
          <w:sz w:val="32"/>
          <w:szCs w:val="32"/>
          <w:lang w:val="de-DE"/>
        </w:rPr>
        <w:t>在服用本品后</w:t>
      </w:r>
      <w:r w:rsidRPr="00B701D2">
        <w:rPr>
          <w:rFonts w:eastAsia="仿宋_GB2312"/>
          <w:kern w:val="0"/>
          <w:sz w:val="32"/>
          <w:szCs w:val="32"/>
          <w:lang w:val="de-DE"/>
        </w:rPr>
        <w:t>2</w:t>
      </w:r>
      <w:r w:rsidRPr="00B701D2">
        <w:rPr>
          <w:rFonts w:eastAsia="仿宋_GB2312"/>
          <w:kern w:val="0"/>
          <w:sz w:val="32"/>
          <w:szCs w:val="32"/>
          <w:lang w:val="de-DE"/>
        </w:rPr>
        <w:t>小时应用司维拉姆和其他钙游离磷酸盐结合剂，从而将其对</w:t>
      </w:r>
      <w:r w:rsidRPr="00B701D2">
        <w:rPr>
          <w:rFonts w:eastAsia="仿宋_GB2312"/>
          <w:kern w:val="0"/>
          <w:sz w:val="32"/>
          <w:szCs w:val="32"/>
          <w:lang w:val="de-DE"/>
        </w:rPr>
        <w:t>MAP</w:t>
      </w:r>
      <w:r w:rsidRPr="00B701D2">
        <w:rPr>
          <w:rFonts w:eastAsia="仿宋_GB2312"/>
          <w:kern w:val="0"/>
          <w:sz w:val="32"/>
          <w:szCs w:val="32"/>
          <w:lang w:val="de-DE"/>
        </w:rPr>
        <w:t>吸收的影响降至最低。</w:t>
      </w:r>
    </w:p>
    <w:p w:rsidR="00D61E64" w:rsidRPr="00B701D2" w:rsidRDefault="00D61E64" w:rsidP="00D61E64">
      <w:pPr>
        <w:spacing w:line="600" w:lineRule="exact"/>
        <w:ind w:firstLineChars="200" w:firstLine="640"/>
        <w:rPr>
          <w:rFonts w:eastAsia="仿宋_GB2312"/>
          <w:kern w:val="0"/>
          <w:sz w:val="32"/>
          <w:szCs w:val="32"/>
          <w:lang w:val="de-DE"/>
        </w:rPr>
      </w:pPr>
      <w:r w:rsidRPr="00B701D2">
        <w:rPr>
          <w:rFonts w:eastAsia="仿宋_GB2312" w:hint="eastAsia"/>
          <w:kern w:val="0"/>
          <w:sz w:val="32"/>
          <w:szCs w:val="32"/>
          <w:lang w:val="de-DE"/>
        </w:rPr>
        <w:t>活疫苗：免疫反应损伤的患者不应当使用活疫苗。对其他疫苗的抗体反应也可能会减少。</w:t>
      </w:r>
    </w:p>
    <w:p w:rsidR="00D61E64" w:rsidRPr="00A2557F" w:rsidRDefault="00D61E64" w:rsidP="00D61E64">
      <w:pPr>
        <w:spacing w:line="600" w:lineRule="exact"/>
        <w:ind w:firstLineChars="200" w:firstLine="640"/>
        <w:rPr>
          <w:rFonts w:ascii="黑体" w:eastAsia="黑体" w:hAnsi="黑体"/>
          <w:b/>
          <w:sz w:val="32"/>
          <w:szCs w:val="32"/>
        </w:rPr>
      </w:pPr>
      <w:r w:rsidRPr="00A2557F">
        <w:rPr>
          <w:rFonts w:ascii="黑体" w:eastAsia="黑体" w:hAnsi="黑体" w:hint="eastAsia"/>
          <w:sz w:val="32"/>
          <w:szCs w:val="32"/>
        </w:rPr>
        <w:t>九、</w:t>
      </w:r>
      <w:r w:rsidRPr="00A2557F">
        <w:rPr>
          <w:rFonts w:ascii="黑体" w:eastAsia="黑体" w:hAnsi="黑体"/>
          <w:b/>
          <w:sz w:val="32"/>
          <w:szCs w:val="32"/>
        </w:rPr>
        <w:t>【</w:t>
      </w:r>
      <w:r w:rsidRPr="00A2557F">
        <w:rPr>
          <w:rFonts w:ascii="黑体" w:eastAsia="黑体" w:hAnsi="黑体"/>
          <w:sz w:val="32"/>
          <w:szCs w:val="32"/>
        </w:rPr>
        <w:t>药物过量</w:t>
      </w:r>
      <w:r w:rsidRPr="00A2557F">
        <w:rPr>
          <w:rFonts w:ascii="黑体" w:eastAsia="黑体" w:hAnsi="黑体"/>
          <w:b/>
          <w:sz w:val="32"/>
          <w:szCs w:val="32"/>
        </w:rPr>
        <w:t>】</w:t>
      </w:r>
      <w:r w:rsidRPr="00A2557F">
        <w:rPr>
          <w:rFonts w:ascii="黑体" w:eastAsia="黑体" w:hAnsi="黑体" w:hint="eastAsia"/>
          <w:sz w:val="32"/>
          <w:szCs w:val="32"/>
        </w:rPr>
        <w:t>项应包括：</w:t>
      </w:r>
    </w:p>
    <w:p w:rsidR="00D61E64" w:rsidRPr="00B701D2" w:rsidRDefault="00D61E64" w:rsidP="00D61E64">
      <w:pPr>
        <w:spacing w:line="600" w:lineRule="exact"/>
        <w:ind w:firstLineChars="200" w:firstLine="640"/>
        <w:rPr>
          <w:rFonts w:eastAsia="仿宋_GB2312"/>
          <w:kern w:val="0"/>
          <w:sz w:val="32"/>
          <w:szCs w:val="32"/>
          <w:lang w:val="de-DE"/>
        </w:rPr>
      </w:pPr>
      <w:r w:rsidRPr="00B701D2">
        <w:rPr>
          <w:rFonts w:eastAsia="仿宋_GB2312"/>
          <w:kern w:val="0"/>
          <w:sz w:val="32"/>
          <w:szCs w:val="32"/>
          <w:lang w:val="de-DE"/>
        </w:rPr>
        <w:t>临床试验</w:t>
      </w:r>
      <w:r w:rsidRPr="00B701D2">
        <w:rPr>
          <w:rFonts w:eastAsia="仿宋_GB2312" w:hint="eastAsia"/>
          <w:kern w:val="0"/>
          <w:sz w:val="32"/>
          <w:szCs w:val="32"/>
          <w:lang w:val="de-DE"/>
        </w:rPr>
        <w:t>及上市后经验中已有吗替麦考酚酸酯</w:t>
      </w:r>
      <w:r w:rsidRPr="00B701D2">
        <w:rPr>
          <w:rFonts w:eastAsia="仿宋_GB2312"/>
          <w:kern w:val="0"/>
          <w:sz w:val="32"/>
          <w:szCs w:val="32"/>
          <w:lang w:val="de-DE"/>
        </w:rPr>
        <w:t>过量的报告。其中许多病例</w:t>
      </w:r>
      <w:r w:rsidRPr="00B701D2">
        <w:rPr>
          <w:rFonts w:eastAsia="仿宋_GB2312" w:hint="eastAsia"/>
          <w:kern w:val="0"/>
          <w:sz w:val="32"/>
          <w:szCs w:val="32"/>
          <w:lang w:val="de-DE"/>
        </w:rPr>
        <w:t>没有</w:t>
      </w:r>
      <w:r w:rsidRPr="00B701D2">
        <w:rPr>
          <w:rFonts w:eastAsia="仿宋_GB2312"/>
          <w:kern w:val="0"/>
          <w:sz w:val="32"/>
          <w:szCs w:val="32"/>
          <w:lang w:val="de-DE"/>
        </w:rPr>
        <w:t>不良事件。在报告了不良事件的</w:t>
      </w:r>
      <w:r w:rsidRPr="00B701D2">
        <w:rPr>
          <w:rFonts w:eastAsia="仿宋_GB2312" w:hint="eastAsia"/>
          <w:kern w:val="0"/>
          <w:sz w:val="32"/>
          <w:szCs w:val="32"/>
          <w:lang w:val="de-DE"/>
        </w:rPr>
        <w:t>药物过量</w:t>
      </w:r>
      <w:r w:rsidRPr="00B701D2">
        <w:rPr>
          <w:rFonts w:eastAsia="仿宋_GB2312"/>
          <w:kern w:val="0"/>
          <w:sz w:val="32"/>
          <w:szCs w:val="32"/>
          <w:lang w:val="de-DE"/>
        </w:rPr>
        <w:t>病例中，不良事件属于药物已知的安全性</w:t>
      </w:r>
      <w:r w:rsidRPr="00B701D2">
        <w:rPr>
          <w:rFonts w:eastAsia="仿宋_GB2312" w:hint="eastAsia"/>
          <w:kern w:val="0"/>
          <w:sz w:val="32"/>
          <w:szCs w:val="32"/>
          <w:lang w:val="de-DE"/>
        </w:rPr>
        <w:t>范围特征</w:t>
      </w:r>
      <w:r w:rsidRPr="00B701D2">
        <w:rPr>
          <w:rFonts w:eastAsia="仿宋_GB2312"/>
          <w:kern w:val="0"/>
          <w:sz w:val="32"/>
          <w:szCs w:val="32"/>
          <w:lang w:val="de-DE"/>
        </w:rPr>
        <w:t>。</w:t>
      </w:r>
    </w:p>
    <w:p w:rsidR="00D61E64" w:rsidRPr="00B701D2" w:rsidRDefault="00D61E64" w:rsidP="00D61E64">
      <w:pPr>
        <w:spacing w:line="600" w:lineRule="exact"/>
        <w:ind w:firstLineChars="200" w:firstLine="640"/>
        <w:rPr>
          <w:rFonts w:eastAsia="仿宋_GB2312"/>
          <w:kern w:val="0"/>
          <w:sz w:val="32"/>
          <w:szCs w:val="32"/>
          <w:lang w:val="de-DE"/>
        </w:rPr>
      </w:pPr>
      <w:r w:rsidRPr="00B701D2">
        <w:rPr>
          <w:rFonts w:eastAsia="仿宋_GB2312" w:hint="eastAsia"/>
          <w:kern w:val="0"/>
          <w:sz w:val="32"/>
          <w:szCs w:val="32"/>
          <w:lang w:val="de-DE"/>
        </w:rPr>
        <w:t>估计吗替麦考酚酸酯</w:t>
      </w:r>
      <w:r w:rsidRPr="00B701D2">
        <w:rPr>
          <w:rFonts w:eastAsia="仿宋_GB2312"/>
          <w:kern w:val="0"/>
          <w:sz w:val="32"/>
          <w:szCs w:val="32"/>
          <w:lang w:val="de-DE"/>
        </w:rPr>
        <w:t>过量可能会导致免疫系统的过度抑制，增加感染和骨髓</w:t>
      </w:r>
      <w:r w:rsidRPr="00B701D2">
        <w:rPr>
          <w:rFonts w:eastAsia="仿宋_GB2312" w:hint="eastAsia"/>
          <w:kern w:val="0"/>
          <w:sz w:val="32"/>
          <w:szCs w:val="32"/>
          <w:lang w:val="de-DE"/>
        </w:rPr>
        <w:t>抑制</w:t>
      </w:r>
      <w:r w:rsidRPr="00B701D2">
        <w:rPr>
          <w:rFonts w:eastAsia="仿宋_GB2312"/>
          <w:kern w:val="0"/>
          <w:sz w:val="32"/>
          <w:szCs w:val="32"/>
          <w:lang w:val="de-DE"/>
        </w:rPr>
        <w:t>的易感性（见</w:t>
      </w:r>
      <w:r w:rsidRPr="00B701D2">
        <w:rPr>
          <w:rFonts w:eastAsia="仿宋_GB2312" w:hint="eastAsia"/>
          <w:kern w:val="0"/>
          <w:sz w:val="32"/>
          <w:szCs w:val="32"/>
          <w:lang w:val="de-DE"/>
        </w:rPr>
        <w:t>【注意事项】</w:t>
      </w:r>
      <w:r w:rsidRPr="00B701D2">
        <w:rPr>
          <w:rFonts w:eastAsia="仿宋_GB2312"/>
          <w:kern w:val="0"/>
          <w:sz w:val="32"/>
          <w:szCs w:val="32"/>
          <w:lang w:val="de-DE"/>
        </w:rPr>
        <w:t>）。如果出现中性粒细胞降低，</w:t>
      </w:r>
      <w:r w:rsidRPr="00B701D2">
        <w:rPr>
          <w:rFonts w:eastAsia="仿宋_GB2312" w:hint="eastAsia"/>
          <w:kern w:val="0"/>
          <w:sz w:val="32"/>
          <w:szCs w:val="32"/>
          <w:lang w:val="de-DE"/>
        </w:rPr>
        <w:t>请</w:t>
      </w:r>
      <w:r w:rsidRPr="00B701D2">
        <w:rPr>
          <w:rFonts w:eastAsia="仿宋_GB2312"/>
          <w:kern w:val="0"/>
          <w:sz w:val="32"/>
          <w:szCs w:val="32"/>
          <w:lang w:val="de-DE"/>
        </w:rPr>
        <w:t>停用本品或减少剂量（见</w:t>
      </w:r>
      <w:r w:rsidRPr="00B701D2">
        <w:rPr>
          <w:rFonts w:eastAsia="仿宋_GB2312" w:hint="eastAsia"/>
          <w:kern w:val="0"/>
          <w:sz w:val="32"/>
          <w:szCs w:val="32"/>
          <w:lang w:val="de-DE"/>
        </w:rPr>
        <w:t>【注意事项】</w:t>
      </w:r>
      <w:r w:rsidRPr="00B701D2">
        <w:rPr>
          <w:rFonts w:eastAsia="仿宋_GB2312"/>
          <w:kern w:val="0"/>
          <w:sz w:val="32"/>
          <w:szCs w:val="32"/>
          <w:lang w:val="de-DE"/>
        </w:rPr>
        <w:t>）。</w:t>
      </w:r>
    </w:p>
    <w:p w:rsidR="00D61E64" w:rsidRDefault="00D61E64" w:rsidP="0039457F">
      <w:pPr>
        <w:spacing w:line="600" w:lineRule="exact"/>
        <w:ind w:firstLineChars="200" w:firstLine="640"/>
        <w:rPr>
          <w:rFonts w:ascii="仿宋" w:eastAsia="仿宋" w:hAnsi="仿宋"/>
          <w:sz w:val="32"/>
          <w:szCs w:val="32"/>
        </w:rPr>
      </w:pPr>
      <w:r w:rsidRPr="00B701D2">
        <w:rPr>
          <w:rFonts w:eastAsia="仿宋_GB2312"/>
          <w:kern w:val="0"/>
          <w:sz w:val="32"/>
          <w:szCs w:val="32"/>
          <w:lang w:val="de-DE"/>
        </w:rPr>
        <w:t>血液透析不能清除</w:t>
      </w:r>
      <w:r w:rsidRPr="00B701D2">
        <w:rPr>
          <w:rFonts w:eastAsia="仿宋_GB2312"/>
          <w:kern w:val="0"/>
          <w:sz w:val="32"/>
          <w:szCs w:val="32"/>
          <w:lang w:val="de-DE"/>
        </w:rPr>
        <w:t>MPA</w:t>
      </w:r>
      <w:r w:rsidRPr="00B701D2">
        <w:rPr>
          <w:rFonts w:eastAsia="仿宋_GB2312"/>
          <w:kern w:val="0"/>
          <w:sz w:val="32"/>
          <w:szCs w:val="32"/>
          <w:lang w:val="de-DE"/>
        </w:rPr>
        <w:t>。但是，如果</w:t>
      </w:r>
      <w:r w:rsidRPr="00B701D2">
        <w:rPr>
          <w:rFonts w:eastAsia="仿宋_GB2312"/>
          <w:kern w:val="0"/>
          <w:sz w:val="32"/>
          <w:szCs w:val="32"/>
          <w:lang w:val="de-DE"/>
        </w:rPr>
        <w:t>MPAG</w:t>
      </w:r>
      <w:r w:rsidRPr="00B701D2">
        <w:rPr>
          <w:rFonts w:eastAsia="仿宋_GB2312"/>
          <w:kern w:val="0"/>
          <w:sz w:val="32"/>
          <w:szCs w:val="32"/>
          <w:lang w:val="de-DE"/>
        </w:rPr>
        <w:t>血浆浓度较高（大于</w:t>
      </w:r>
      <w:r w:rsidRPr="00B701D2">
        <w:rPr>
          <w:rFonts w:eastAsia="仿宋_GB2312"/>
          <w:kern w:val="0"/>
          <w:sz w:val="32"/>
          <w:szCs w:val="32"/>
          <w:lang w:val="de-DE"/>
        </w:rPr>
        <w:t>100μg/ml</w:t>
      </w:r>
      <w:r w:rsidRPr="00B701D2">
        <w:rPr>
          <w:rFonts w:eastAsia="仿宋_GB2312"/>
          <w:kern w:val="0"/>
          <w:sz w:val="32"/>
          <w:szCs w:val="32"/>
          <w:lang w:val="de-DE"/>
        </w:rPr>
        <w:t>），则可以清除少量</w:t>
      </w:r>
      <w:r w:rsidRPr="00B701D2">
        <w:rPr>
          <w:rFonts w:eastAsia="仿宋_GB2312"/>
          <w:kern w:val="0"/>
          <w:sz w:val="32"/>
          <w:szCs w:val="32"/>
          <w:lang w:val="de-DE"/>
        </w:rPr>
        <w:t>MPAG</w:t>
      </w:r>
      <w:r w:rsidRPr="00B701D2">
        <w:rPr>
          <w:rFonts w:eastAsia="仿宋_GB2312"/>
          <w:kern w:val="0"/>
          <w:sz w:val="32"/>
          <w:szCs w:val="32"/>
          <w:lang w:val="de-DE"/>
        </w:rPr>
        <w:t>。另外，通过增加药物的分泌，</w:t>
      </w:r>
      <w:r w:rsidRPr="00B701D2">
        <w:rPr>
          <w:rFonts w:eastAsia="仿宋_GB2312"/>
          <w:kern w:val="0"/>
          <w:sz w:val="32"/>
          <w:szCs w:val="32"/>
          <w:lang w:val="de-DE"/>
        </w:rPr>
        <w:t>MPA</w:t>
      </w:r>
      <w:r w:rsidRPr="00B701D2">
        <w:rPr>
          <w:rFonts w:eastAsia="仿宋_GB2312"/>
          <w:kern w:val="0"/>
          <w:sz w:val="32"/>
          <w:szCs w:val="32"/>
          <w:lang w:val="de-DE"/>
        </w:rPr>
        <w:t>可被胆酸结合剂消除，如消胆胺</w:t>
      </w:r>
      <w:r w:rsidRPr="00B701D2">
        <w:rPr>
          <w:rFonts w:eastAsia="仿宋_GB2312" w:hint="eastAsia"/>
          <w:kern w:val="0"/>
          <w:sz w:val="32"/>
          <w:szCs w:val="32"/>
          <w:lang w:val="de-DE"/>
        </w:rPr>
        <w:t>。</w:t>
      </w:r>
    </w:p>
    <w:sectPr w:rsidR="00D61E64" w:rsidSect="00B701D2">
      <w:footerReference w:type="even" r:id="rId7"/>
      <w:footerReference w:type="default" r:id="rId8"/>
      <w:pgSz w:w="11906" w:h="16838"/>
      <w:pgMar w:top="192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6D81" w:rsidRDefault="001A6D81" w:rsidP="00D61E64">
      <w:r>
        <w:separator/>
      </w:r>
    </w:p>
  </w:endnote>
  <w:endnote w:type="continuationSeparator" w:id="1">
    <w:p w:rsidR="001A6D81" w:rsidRDefault="001A6D81" w:rsidP="00D61E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rPr>
        <w:sz w:val="28"/>
        <w:szCs w:val="28"/>
      </w:rPr>
    </w:pPr>
    <w:r w:rsidRPr="00B701D2">
      <w:rPr>
        <w:rFonts w:hint="eastAsia"/>
        <w:color w:val="FFFFFF" w:themeColor="background1"/>
        <w:sz w:val="28"/>
        <w:szCs w:val="28"/>
      </w:rPr>
      <w:t>—</w:t>
    </w:r>
    <w:r w:rsidRPr="00B701D2">
      <w:rPr>
        <w:rFonts w:hint="eastAsia"/>
        <w:sz w:val="28"/>
        <w:szCs w:val="28"/>
      </w:rPr>
      <w:t>—</w:t>
    </w:r>
    <w:sdt>
      <w:sdtPr>
        <w:rPr>
          <w:sz w:val="28"/>
          <w:szCs w:val="28"/>
        </w:rPr>
        <w:id w:val="-1400520936"/>
        <w:docPartObj>
          <w:docPartGallery w:val="Page Numbers (Bottom of Page)"/>
          <w:docPartUnique/>
        </w:docPartObj>
      </w:sdtPr>
      <w:sdtContent>
        <w:r w:rsidR="004A384A" w:rsidRPr="00B701D2">
          <w:rPr>
            <w:sz w:val="28"/>
            <w:szCs w:val="28"/>
          </w:rPr>
          <w:fldChar w:fldCharType="begin"/>
        </w:r>
        <w:r w:rsidRPr="00B701D2">
          <w:rPr>
            <w:sz w:val="28"/>
            <w:szCs w:val="28"/>
          </w:rPr>
          <w:instrText>PAGE   \* MERGEFORMAT</w:instrText>
        </w:r>
        <w:r w:rsidR="004A384A" w:rsidRPr="00B701D2">
          <w:rPr>
            <w:sz w:val="28"/>
            <w:szCs w:val="28"/>
          </w:rPr>
          <w:fldChar w:fldCharType="separate"/>
        </w:r>
        <w:r w:rsidRPr="00E2337C">
          <w:rPr>
            <w:noProof/>
            <w:sz w:val="28"/>
            <w:szCs w:val="28"/>
            <w:lang w:val="zh-CN"/>
          </w:rPr>
          <w:t>2</w:t>
        </w:r>
        <w:r w:rsidR="004A384A" w:rsidRPr="00B701D2">
          <w:rPr>
            <w:sz w:val="28"/>
            <w:szCs w:val="28"/>
          </w:rPr>
          <w:fldChar w:fldCharType="end"/>
        </w:r>
        <w:r w:rsidRPr="00B701D2">
          <w:rPr>
            <w:rFonts w:hint="eastAsia"/>
            <w:sz w:val="28"/>
            <w:szCs w:val="28"/>
          </w:rPr>
          <w:t>—</w:t>
        </w:r>
      </w:sdtContent>
    </w:sdt>
  </w:p>
  <w:p w:rsidR="00FF3457" w:rsidRDefault="001A6D81">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457" w:rsidRPr="00B701D2" w:rsidRDefault="00BD3695">
    <w:pPr>
      <w:pStyle w:val="a4"/>
      <w:jc w:val="right"/>
      <w:rPr>
        <w:sz w:val="28"/>
        <w:szCs w:val="28"/>
      </w:rPr>
    </w:pPr>
    <w:r w:rsidRPr="00B701D2">
      <w:rPr>
        <w:rFonts w:hint="eastAsia"/>
        <w:sz w:val="28"/>
        <w:szCs w:val="28"/>
      </w:rPr>
      <w:t>—</w:t>
    </w:r>
    <w:sdt>
      <w:sdtPr>
        <w:rPr>
          <w:sz w:val="28"/>
          <w:szCs w:val="28"/>
        </w:rPr>
        <w:id w:val="-533887832"/>
        <w:docPartObj>
          <w:docPartGallery w:val="Page Numbers (Bottom of Page)"/>
          <w:docPartUnique/>
        </w:docPartObj>
      </w:sdtPr>
      <w:sdtEndPr>
        <w:rPr>
          <w:color w:val="FFFFFF" w:themeColor="background1"/>
        </w:rPr>
      </w:sdtEndPr>
      <w:sdtContent>
        <w:r w:rsidR="004A384A" w:rsidRPr="00B701D2">
          <w:rPr>
            <w:sz w:val="28"/>
            <w:szCs w:val="28"/>
          </w:rPr>
          <w:fldChar w:fldCharType="begin"/>
        </w:r>
        <w:r w:rsidRPr="00B701D2">
          <w:rPr>
            <w:sz w:val="28"/>
            <w:szCs w:val="28"/>
          </w:rPr>
          <w:instrText>PAGE   \* MERGEFORMAT</w:instrText>
        </w:r>
        <w:r w:rsidR="004A384A" w:rsidRPr="00B701D2">
          <w:rPr>
            <w:sz w:val="28"/>
            <w:szCs w:val="28"/>
          </w:rPr>
          <w:fldChar w:fldCharType="separate"/>
        </w:r>
        <w:r w:rsidR="0039457F" w:rsidRPr="0039457F">
          <w:rPr>
            <w:noProof/>
            <w:sz w:val="28"/>
            <w:szCs w:val="28"/>
            <w:lang w:val="zh-CN"/>
          </w:rPr>
          <w:t>22</w:t>
        </w:r>
        <w:r w:rsidR="004A384A" w:rsidRPr="00B701D2">
          <w:rPr>
            <w:sz w:val="28"/>
            <w:szCs w:val="28"/>
          </w:rPr>
          <w:fldChar w:fldCharType="end"/>
        </w:r>
        <w:r w:rsidRPr="00B701D2">
          <w:rPr>
            <w:rFonts w:hint="eastAsia"/>
            <w:sz w:val="28"/>
            <w:szCs w:val="28"/>
          </w:rPr>
          <w:t>—</w:t>
        </w:r>
        <w:r w:rsidRPr="00B701D2">
          <w:rPr>
            <w:rFonts w:hint="eastAsia"/>
            <w:color w:val="FFFFFF" w:themeColor="background1"/>
            <w:sz w:val="28"/>
            <w:szCs w:val="28"/>
          </w:rPr>
          <w:t>—</w:t>
        </w:r>
      </w:sdtContent>
    </w:sdt>
  </w:p>
  <w:p w:rsidR="004F1158" w:rsidRDefault="001A6D8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6D81" w:rsidRDefault="001A6D81" w:rsidP="00D61E64">
      <w:r>
        <w:separator/>
      </w:r>
    </w:p>
  </w:footnote>
  <w:footnote w:type="continuationSeparator" w:id="1">
    <w:p w:rsidR="001A6D81" w:rsidRDefault="001A6D81" w:rsidP="00D61E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907BF"/>
    <w:multiLevelType w:val="hybridMultilevel"/>
    <w:tmpl w:val="B95444C2"/>
    <w:lvl w:ilvl="0" w:tplc="161C9AEC">
      <w:start w:val="1"/>
      <w:numFmt w:val="bullet"/>
      <w:lvlText w:val=""/>
      <w:lvlJc w:val="left"/>
      <w:pPr>
        <w:tabs>
          <w:tab w:val="num" w:pos="720"/>
        </w:tabs>
        <w:ind w:left="720" w:hanging="360"/>
      </w:pPr>
      <w:rPr>
        <w:rFonts w:ascii="Symbol" w:hAnsi="Symbol" w:hint="default"/>
      </w:rPr>
    </w:lvl>
    <w:lvl w:ilvl="1" w:tplc="D946F244">
      <w:start w:val="1"/>
      <w:numFmt w:val="bullet"/>
      <w:lvlText w:val=""/>
      <w:lvlJc w:val="left"/>
      <w:pPr>
        <w:tabs>
          <w:tab w:val="num" w:pos="1440"/>
        </w:tabs>
        <w:ind w:left="1440" w:hanging="360"/>
      </w:pPr>
      <w:rPr>
        <w:rFonts w:ascii="Symbol" w:hAnsi="Symbol" w:cs="Courier New" w:hint="default"/>
        <w:color w:val="auto"/>
      </w:rPr>
    </w:lvl>
    <w:lvl w:ilvl="2" w:tplc="DF0C8560" w:tentative="1">
      <w:start w:val="1"/>
      <w:numFmt w:val="bullet"/>
      <w:lvlText w:val=""/>
      <w:lvlJc w:val="left"/>
      <w:pPr>
        <w:tabs>
          <w:tab w:val="num" w:pos="2160"/>
        </w:tabs>
        <w:ind w:left="2160" w:hanging="360"/>
      </w:pPr>
      <w:rPr>
        <w:rFonts w:ascii="Wingdings" w:hAnsi="Wingdings" w:hint="default"/>
      </w:rPr>
    </w:lvl>
    <w:lvl w:ilvl="3" w:tplc="13528A50" w:tentative="1">
      <w:start w:val="1"/>
      <w:numFmt w:val="bullet"/>
      <w:lvlText w:val=""/>
      <w:lvlJc w:val="left"/>
      <w:pPr>
        <w:tabs>
          <w:tab w:val="num" w:pos="2880"/>
        </w:tabs>
        <w:ind w:left="2880" w:hanging="360"/>
      </w:pPr>
      <w:rPr>
        <w:rFonts w:ascii="Symbol" w:hAnsi="Symbol" w:hint="default"/>
      </w:rPr>
    </w:lvl>
    <w:lvl w:ilvl="4" w:tplc="964686B6" w:tentative="1">
      <w:start w:val="1"/>
      <w:numFmt w:val="bullet"/>
      <w:lvlText w:val="o"/>
      <w:lvlJc w:val="left"/>
      <w:pPr>
        <w:tabs>
          <w:tab w:val="num" w:pos="3600"/>
        </w:tabs>
        <w:ind w:left="3600" w:hanging="360"/>
      </w:pPr>
      <w:rPr>
        <w:rFonts w:ascii="Courier New" w:hAnsi="Courier New" w:hint="default"/>
      </w:rPr>
    </w:lvl>
    <w:lvl w:ilvl="5" w:tplc="77100F16" w:tentative="1">
      <w:start w:val="1"/>
      <w:numFmt w:val="bullet"/>
      <w:lvlText w:val=""/>
      <w:lvlJc w:val="left"/>
      <w:pPr>
        <w:tabs>
          <w:tab w:val="num" w:pos="4320"/>
        </w:tabs>
        <w:ind w:left="4320" w:hanging="360"/>
      </w:pPr>
      <w:rPr>
        <w:rFonts w:ascii="Wingdings" w:hAnsi="Wingdings" w:hint="default"/>
      </w:rPr>
    </w:lvl>
    <w:lvl w:ilvl="6" w:tplc="3EAE298A" w:tentative="1">
      <w:start w:val="1"/>
      <w:numFmt w:val="bullet"/>
      <w:lvlText w:val=""/>
      <w:lvlJc w:val="left"/>
      <w:pPr>
        <w:tabs>
          <w:tab w:val="num" w:pos="5040"/>
        </w:tabs>
        <w:ind w:left="5040" w:hanging="360"/>
      </w:pPr>
      <w:rPr>
        <w:rFonts w:ascii="Symbol" w:hAnsi="Symbol" w:hint="default"/>
      </w:rPr>
    </w:lvl>
    <w:lvl w:ilvl="7" w:tplc="FDA43BEC" w:tentative="1">
      <w:start w:val="1"/>
      <w:numFmt w:val="bullet"/>
      <w:lvlText w:val="o"/>
      <w:lvlJc w:val="left"/>
      <w:pPr>
        <w:tabs>
          <w:tab w:val="num" w:pos="5760"/>
        </w:tabs>
        <w:ind w:left="5760" w:hanging="360"/>
      </w:pPr>
      <w:rPr>
        <w:rFonts w:ascii="Courier New" w:hAnsi="Courier New" w:hint="default"/>
      </w:rPr>
    </w:lvl>
    <w:lvl w:ilvl="8" w:tplc="2CF2AE14" w:tentative="1">
      <w:start w:val="1"/>
      <w:numFmt w:val="bullet"/>
      <w:lvlText w:val=""/>
      <w:lvlJc w:val="left"/>
      <w:pPr>
        <w:tabs>
          <w:tab w:val="num" w:pos="6480"/>
        </w:tabs>
        <w:ind w:left="6480" w:hanging="360"/>
      </w:pPr>
      <w:rPr>
        <w:rFonts w:ascii="Wingdings" w:hAnsi="Wingdings" w:hint="default"/>
      </w:rPr>
    </w:lvl>
  </w:abstractNum>
  <w:abstractNum w:abstractNumId="1">
    <w:nsid w:val="650070C8"/>
    <w:multiLevelType w:val="hybridMultilevel"/>
    <w:tmpl w:val="E42ABE40"/>
    <w:lvl w:ilvl="0" w:tplc="5FE08BE2">
      <w:start w:val="1"/>
      <w:numFmt w:val="bullet"/>
      <w:lvlText w:val=""/>
      <w:lvlJc w:val="left"/>
      <w:pPr>
        <w:tabs>
          <w:tab w:val="num" w:pos="720"/>
        </w:tabs>
        <w:ind w:left="720" w:hanging="360"/>
      </w:pPr>
      <w:rPr>
        <w:rFonts w:ascii="Symbol" w:hAnsi="Symbol" w:hint="default"/>
      </w:rPr>
    </w:lvl>
    <w:lvl w:ilvl="1" w:tplc="F558BD2A">
      <w:start w:val="1"/>
      <w:numFmt w:val="bullet"/>
      <w:lvlText w:val="o"/>
      <w:lvlJc w:val="left"/>
      <w:pPr>
        <w:tabs>
          <w:tab w:val="num" w:pos="1440"/>
        </w:tabs>
        <w:ind w:left="1440" w:hanging="360"/>
      </w:pPr>
      <w:rPr>
        <w:rFonts w:ascii="Courier New" w:hAnsi="Courier New" w:hint="default"/>
      </w:rPr>
    </w:lvl>
    <w:lvl w:ilvl="2" w:tplc="7E96B020" w:tentative="1">
      <w:start w:val="1"/>
      <w:numFmt w:val="bullet"/>
      <w:lvlText w:val=""/>
      <w:lvlJc w:val="left"/>
      <w:pPr>
        <w:tabs>
          <w:tab w:val="num" w:pos="2160"/>
        </w:tabs>
        <w:ind w:left="2160" w:hanging="360"/>
      </w:pPr>
      <w:rPr>
        <w:rFonts w:ascii="Wingdings" w:hAnsi="Wingdings" w:hint="default"/>
      </w:rPr>
    </w:lvl>
    <w:lvl w:ilvl="3" w:tplc="5A4C7E08" w:tentative="1">
      <w:start w:val="1"/>
      <w:numFmt w:val="bullet"/>
      <w:lvlText w:val=""/>
      <w:lvlJc w:val="left"/>
      <w:pPr>
        <w:tabs>
          <w:tab w:val="num" w:pos="2880"/>
        </w:tabs>
        <w:ind w:left="2880" w:hanging="360"/>
      </w:pPr>
      <w:rPr>
        <w:rFonts w:ascii="Symbol" w:hAnsi="Symbol" w:hint="default"/>
      </w:rPr>
    </w:lvl>
    <w:lvl w:ilvl="4" w:tplc="6B1EBA56" w:tentative="1">
      <w:start w:val="1"/>
      <w:numFmt w:val="bullet"/>
      <w:lvlText w:val="o"/>
      <w:lvlJc w:val="left"/>
      <w:pPr>
        <w:tabs>
          <w:tab w:val="num" w:pos="3600"/>
        </w:tabs>
        <w:ind w:left="3600" w:hanging="360"/>
      </w:pPr>
      <w:rPr>
        <w:rFonts w:ascii="Courier New" w:hAnsi="Courier New" w:hint="default"/>
      </w:rPr>
    </w:lvl>
    <w:lvl w:ilvl="5" w:tplc="1A00E4AA" w:tentative="1">
      <w:start w:val="1"/>
      <w:numFmt w:val="bullet"/>
      <w:lvlText w:val=""/>
      <w:lvlJc w:val="left"/>
      <w:pPr>
        <w:tabs>
          <w:tab w:val="num" w:pos="4320"/>
        </w:tabs>
        <w:ind w:left="4320" w:hanging="360"/>
      </w:pPr>
      <w:rPr>
        <w:rFonts w:ascii="Wingdings" w:hAnsi="Wingdings" w:hint="default"/>
      </w:rPr>
    </w:lvl>
    <w:lvl w:ilvl="6" w:tplc="F724A144" w:tentative="1">
      <w:start w:val="1"/>
      <w:numFmt w:val="bullet"/>
      <w:lvlText w:val=""/>
      <w:lvlJc w:val="left"/>
      <w:pPr>
        <w:tabs>
          <w:tab w:val="num" w:pos="5040"/>
        </w:tabs>
        <w:ind w:left="5040" w:hanging="360"/>
      </w:pPr>
      <w:rPr>
        <w:rFonts w:ascii="Symbol" w:hAnsi="Symbol" w:hint="default"/>
      </w:rPr>
    </w:lvl>
    <w:lvl w:ilvl="7" w:tplc="3B0A5382" w:tentative="1">
      <w:start w:val="1"/>
      <w:numFmt w:val="bullet"/>
      <w:lvlText w:val="o"/>
      <w:lvlJc w:val="left"/>
      <w:pPr>
        <w:tabs>
          <w:tab w:val="num" w:pos="5760"/>
        </w:tabs>
        <w:ind w:left="5760" w:hanging="360"/>
      </w:pPr>
      <w:rPr>
        <w:rFonts w:ascii="Courier New" w:hAnsi="Courier New" w:hint="default"/>
      </w:rPr>
    </w:lvl>
    <w:lvl w:ilvl="8" w:tplc="2C7AB8A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6693F"/>
    <w:rsid w:val="001A6D81"/>
    <w:rsid w:val="0039457F"/>
    <w:rsid w:val="004A384A"/>
    <w:rsid w:val="00691927"/>
    <w:rsid w:val="0096693F"/>
    <w:rsid w:val="00BD3695"/>
    <w:rsid w:val="00D61E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6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61E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61E64"/>
    <w:rPr>
      <w:sz w:val="18"/>
      <w:szCs w:val="18"/>
    </w:rPr>
  </w:style>
  <w:style w:type="paragraph" w:styleId="a4">
    <w:name w:val="footer"/>
    <w:basedOn w:val="a"/>
    <w:link w:val="Char0"/>
    <w:uiPriority w:val="99"/>
    <w:unhideWhenUsed/>
    <w:rsid w:val="00D61E64"/>
    <w:pPr>
      <w:tabs>
        <w:tab w:val="center" w:pos="4153"/>
        <w:tab w:val="right" w:pos="8306"/>
      </w:tabs>
      <w:snapToGrid w:val="0"/>
      <w:jc w:val="left"/>
    </w:pPr>
    <w:rPr>
      <w:sz w:val="18"/>
      <w:szCs w:val="18"/>
    </w:rPr>
  </w:style>
  <w:style w:type="character" w:customStyle="1" w:styleId="Char0">
    <w:name w:val="页脚 Char"/>
    <w:basedOn w:val="a0"/>
    <w:link w:val="a4"/>
    <w:uiPriority w:val="99"/>
    <w:rsid w:val="00D61E64"/>
    <w:rPr>
      <w:sz w:val="18"/>
      <w:szCs w:val="18"/>
    </w:rPr>
  </w:style>
  <w:style w:type="paragraph" w:styleId="a5">
    <w:name w:val="List Paragraph"/>
    <w:basedOn w:val="a"/>
    <w:uiPriority w:val="34"/>
    <w:qFormat/>
    <w:rsid w:val="00D61E64"/>
    <w:pPr>
      <w:widowControl/>
      <w:ind w:firstLineChars="200" w:firstLine="420"/>
      <w:jc w:val="left"/>
    </w:pPr>
    <w:rPr>
      <w:rFonts w:ascii="宋体" w:hAnsi="宋体" w:cs="宋体"/>
      <w:kern w:val="0"/>
      <w:sz w:val="24"/>
    </w:rPr>
  </w:style>
  <w:style w:type="paragraph" w:customStyle="1" w:styleId="TextTi12">
    <w:name w:val="Text:Ti12"/>
    <w:basedOn w:val="a"/>
    <w:link w:val="TextTi12Char"/>
    <w:rsid w:val="00D61E64"/>
    <w:pPr>
      <w:widowControl/>
      <w:spacing w:after="170" w:line="280" w:lineRule="atLeast"/>
    </w:pPr>
    <w:rPr>
      <w:kern w:val="0"/>
      <w:sz w:val="24"/>
      <w:lang w:val="x-none" w:eastAsia="de-DE"/>
    </w:rPr>
  </w:style>
  <w:style w:type="paragraph" w:customStyle="1" w:styleId="TextTi10">
    <w:name w:val="Text:Ti10"/>
    <w:basedOn w:val="a"/>
    <w:rsid w:val="00D61E64"/>
    <w:pPr>
      <w:widowControl/>
      <w:jc w:val="left"/>
    </w:pPr>
    <w:rPr>
      <w:rFonts w:eastAsia="Times New Roman"/>
      <w:kern w:val="0"/>
      <w:sz w:val="20"/>
      <w:szCs w:val="20"/>
      <w:lang w:eastAsia="ja-JP"/>
    </w:rPr>
  </w:style>
  <w:style w:type="paragraph" w:customStyle="1" w:styleId="TextTi9">
    <w:name w:val="Text:Ti9"/>
    <w:basedOn w:val="a"/>
    <w:rsid w:val="00D61E64"/>
    <w:pPr>
      <w:widowControl/>
      <w:jc w:val="left"/>
    </w:pPr>
    <w:rPr>
      <w:rFonts w:eastAsia="Times New Roman"/>
      <w:kern w:val="0"/>
      <w:sz w:val="18"/>
      <w:szCs w:val="20"/>
      <w:lang w:eastAsia="ja-JP"/>
    </w:rPr>
  </w:style>
  <w:style w:type="character" w:customStyle="1" w:styleId="TextTi12Char">
    <w:name w:val="Text:Ti12 Char"/>
    <w:link w:val="TextTi12"/>
    <w:rsid w:val="00D61E64"/>
    <w:rPr>
      <w:rFonts w:ascii="Times New Roman" w:eastAsia="宋体" w:hAnsi="Times New Roman" w:cs="Times New Roman"/>
      <w:kern w:val="0"/>
      <w:sz w:val="24"/>
      <w:szCs w:val="24"/>
      <w:lang w:val="x-none" w:eastAsia="de-DE"/>
    </w:rPr>
  </w:style>
  <w:style w:type="character" w:styleId="a6">
    <w:name w:val="Hyperlink"/>
    <w:rsid w:val="00D61E64"/>
    <w:rPr>
      <w:color w:val="0000FF"/>
      <w:u w:val="single"/>
    </w:rPr>
  </w:style>
  <w:style w:type="paragraph" w:styleId="a7">
    <w:name w:val="Balloon Text"/>
    <w:basedOn w:val="a"/>
    <w:link w:val="Char1"/>
    <w:uiPriority w:val="99"/>
    <w:semiHidden/>
    <w:unhideWhenUsed/>
    <w:rsid w:val="00D61E64"/>
    <w:rPr>
      <w:sz w:val="18"/>
      <w:szCs w:val="18"/>
    </w:rPr>
  </w:style>
  <w:style w:type="character" w:customStyle="1" w:styleId="Char1">
    <w:name w:val="批注框文本 Char"/>
    <w:basedOn w:val="a0"/>
    <w:link w:val="a7"/>
    <w:uiPriority w:val="99"/>
    <w:semiHidden/>
    <w:rsid w:val="00D61E6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1628</Words>
  <Characters>9285</Characters>
  <Application>Microsoft Office Word</Application>
  <DocSecurity>0</DocSecurity>
  <Lines>77</Lines>
  <Paragraphs>21</Paragraphs>
  <ScaleCrop>false</ScaleCrop>
  <Company>CFDA</Company>
  <LinksUpToDate>false</LinksUpToDate>
  <CharactersWithSpaces>10892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王兴龙</dc:creator>
  <cp:lastModifiedBy>wxl</cp:lastModifiedBy>
  <cp:revision>2</cp:revision>
  <dcterms:created xsi:type="dcterms:W3CDTF">2017-03-28T08:45:00Z</dcterms:created>
  <dcterms:modified xsi:type="dcterms:W3CDTF">2017-03-28T08:45:00Z</dcterms:modified>
</cp:coreProperties>
</file>