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E64" w:rsidRDefault="00D61E64" w:rsidP="00D61E64">
      <w:pPr>
        <w:rPr>
          <w:rFonts w:ascii="黑体" w:eastAsia="黑体" w:hAnsi="黑体"/>
          <w:sz w:val="32"/>
          <w:szCs w:val="32"/>
        </w:rPr>
      </w:pPr>
      <w:r w:rsidRPr="00C823CD">
        <w:rPr>
          <w:rFonts w:ascii="黑体" w:eastAsia="黑体" w:hAnsi="黑体" w:hint="eastAsia"/>
          <w:sz w:val="32"/>
          <w:szCs w:val="32"/>
        </w:rPr>
        <w:t>附件</w:t>
      </w:r>
      <w:r>
        <w:rPr>
          <w:rFonts w:ascii="黑体" w:eastAsia="黑体" w:hAnsi="黑体" w:hint="eastAsia"/>
          <w:sz w:val="32"/>
          <w:szCs w:val="32"/>
        </w:rPr>
        <w:t>3</w:t>
      </w:r>
    </w:p>
    <w:p w:rsidR="00D61E64" w:rsidRPr="00C823CD" w:rsidRDefault="00D61E64" w:rsidP="00D61E64">
      <w:pPr>
        <w:rPr>
          <w:rFonts w:ascii="黑体" w:eastAsia="黑体" w:hAnsi="黑体"/>
          <w:sz w:val="32"/>
          <w:szCs w:val="32"/>
        </w:rPr>
      </w:pPr>
    </w:p>
    <w:p w:rsidR="00D61E64" w:rsidRDefault="00D61E64" w:rsidP="00D61E64">
      <w:pPr>
        <w:spacing w:line="360" w:lineRule="auto"/>
        <w:jc w:val="center"/>
        <w:rPr>
          <w:rFonts w:ascii="方正小标宋简体" w:eastAsia="方正小标宋简体" w:hAnsi="宋体"/>
          <w:sz w:val="44"/>
          <w:szCs w:val="44"/>
        </w:rPr>
      </w:pPr>
      <w:r w:rsidRPr="00853174">
        <w:rPr>
          <w:rFonts w:ascii="方正小标宋简体" w:eastAsia="方正小标宋简体" w:hAnsi="宋体" w:hint="eastAsia"/>
          <w:sz w:val="44"/>
          <w:szCs w:val="44"/>
        </w:rPr>
        <w:t>麦考酚钠肠溶片说明书修订要求</w:t>
      </w:r>
    </w:p>
    <w:p w:rsidR="00D61E64" w:rsidRPr="00853174" w:rsidRDefault="00D61E64" w:rsidP="00D61E64">
      <w:pPr>
        <w:spacing w:line="400" w:lineRule="exact"/>
        <w:jc w:val="center"/>
        <w:rPr>
          <w:rFonts w:ascii="方正小标宋简体" w:eastAsia="方正小标宋简体" w:hAnsi="宋体"/>
          <w:sz w:val="44"/>
          <w:szCs w:val="44"/>
        </w:rPr>
      </w:pPr>
    </w:p>
    <w:p w:rsidR="00D61E64" w:rsidRPr="00B701D2" w:rsidRDefault="00D61E64" w:rsidP="00D61E64">
      <w:pPr>
        <w:spacing w:line="600" w:lineRule="exact"/>
        <w:ind w:firstLineChars="200" w:firstLine="640"/>
        <w:jc w:val="left"/>
        <w:rPr>
          <w:rFonts w:ascii="仿宋_GB2312" w:eastAsia="仿宋_GB2312" w:hAnsi="仿宋"/>
          <w:sz w:val="32"/>
          <w:szCs w:val="32"/>
        </w:rPr>
      </w:pPr>
      <w:r w:rsidRPr="00B701D2">
        <w:rPr>
          <w:rFonts w:ascii="仿宋_GB2312" w:eastAsia="仿宋_GB2312" w:hAnsi="仿宋" w:hint="eastAsia"/>
          <w:sz w:val="32"/>
          <w:szCs w:val="32"/>
        </w:rPr>
        <w:t>本修订要求适用于我国已上市的所有麦考酚钠肠溶片。</w:t>
      </w:r>
    </w:p>
    <w:p w:rsidR="00D61E64" w:rsidRPr="00C823CD" w:rsidRDefault="00D61E64" w:rsidP="00D61E64">
      <w:pPr>
        <w:spacing w:line="600" w:lineRule="exact"/>
        <w:ind w:firstLineChars="200" w:firstLine="640"/>
        <w:rPr>
          <w:rFonts w:ascii="黑体" w:eastAsia="黑体" w:hAnsi="黑体"/>
          <w:sz w:val="32"/>
          <w:szCs w:val="32"/>
        </w:rPr>
      </w:pPr>
      <w:r w:rsidRPr="00C823CD">
        <w:rPr>
          <w:rFonts w:ascii="黑体" w:eastAsia="黑体" w:hAnsi="黑体" w:hint="eastAsia"/>
          <w:sz w:val="32"/>
          <w:szCs w:val="32"/>
        </w:rPr>
        <w:t>一、【不良反应】项“上市后不良反应”中增加：</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上市后已经报告了妊娠期内接受本品和其他免疫抑制剂联合治疗的患者的子女中，出现先天性畸形的情况。</w:t>
      </w:r>
    </w:p>
    <w:p w:rsidR="00D61E64" w:rsidRPr="00C823CD" w:rsidRDefault="00D61E64" w:rsidP="00D61E64">
      <w:pPr>
        <w:spacing w:line="600" w:lineRule="exact"/>
        <w:ind w:firstLineChars="200" w:firstLine="640"/>
        <w:rPr>
          <w:rFonts w:ascii="黑体" w:eastAsia="黑体" w:hAnsi="黑体"/>
          <w:sz w:val="32"/>
          <w:szCs w:val="32"/>
        </w:rPr>
      </w:pPr>
      <w:r w:rsidRPr="00C823CD">
        <w:rPr>
          <w:rFonts w:ascii="黑体" w:eastAsia="黑体" w:hAnsi="黑体" w:hint="eastAsia"/>
          <w:sz w:val="32"/>
          <w:szCs w:val="32"/>
        </w:rPr>
        <w:t>二、【禁忌】项增加：</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本品禁用于孕妇，因其可能致突变和致畸。</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本品禁用于未使用高效避孕方法的育龄期妇女。</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本品禁用于哺乳期妇女。</w:t>
      </w:r>
    </w:p>
    <w:p w:rsidR="00D61E64" w:rsidRPr="00C823CD" w:rsidRDefault="00D61E64" w:rsidP="00D61E64">
      <w:pPr>
        <w:spacing w:line="600" w:lineRule="exact"/>
        <w:ind w:firstLineChars="200" w:firstLine="640"/>
        <w:rPr>
          <w:rFonts w:ascii="黑体" w:eastAsia="黑体" w:hAnsi="黑体"/>
          <w:sz w:val="32"/>
          <w:szCs w:val="32"/>
        </w:rPr>
      </w:pPr>
      <w:r w:rsidRPr="00C823CD">
        <w:rPr>
          <w:rFonts w:ascii="黑体" w:eastAsia="黑体" w:hAnsi="黑体" w:hint="eastAsia"/>
          <w:sz w:val="32"/>
          <w:szCs w:val="32"/>
        </w:rPr>
        <w:t>三、</w:t>
      </w:r>
      <w:r w:rsidRPr="00C823CD">
        <w:rPr>
          <w:rFonts w:ascii="黑体" w:eastAsia="黑体" w:hAnsi="黑体"/>
          <w:sz w:val="32"/>
          <w:szCs w:val="32"/>
        </w:rPr>
        <w:t>【孕妇及哺乳期妇女用药】</w:t>
      </w:r>
      <w:r w:rsidRPr="00C823CD">
        <w:rPr>
          <w:rFonts w:ascii="黑体" w:eastAsia="黑体" w:hAnsi="黑体" w:hint="eastAsia"/>
          <w:sz w:val="32"/>
          <w:szCs w:val="32"/>
        </w:rPr>
        <w:t>项应包括：</w:t>
      </w:r>
    </w:p>
    <w:p w:rsidR="00D61E64" w:rsidRPr="00B701D2" w:rsidRDefault="00D61E64" w:rsidP="00D61E64">
      <w:pPr>
        <w:pStyle w:val="TextTi12"/>
        <w:spacing w:after="0" w:line="600" w:lineRule="exact"/>
        <w:ind w:firstLineChars="200" w:firstLine="640"/>
        <w:rPr>
          <w:rFonts w:eastAsia="楷体_GB2312"/>
          <w:bCs/>
          <w:sz w:val="32"/>
          <w:szCs w:val="32"/>
          <w:lang w:eastAsia="zh-CN"/>
        </w:rPr>
      </w:pPr>
      <w:r w:rsidRPr="00B701D2">
        <w:rPr>
          <w:rFonts w:eastAsia="楷体_GB2312" w:hint="eastAsia"/>
          <w:bCs/>
          <w:sz w:val="32"/>
          <w:szCs w:val="32"/>
        </w:rPr>
        <w:t>致畸效应：妊娠分类</w:t>
      </w:r>
      <w:r w:rsidRPr="00B701D2">
        <w:rPr>
          <w:rFonts w:eastAsia="楷体_GB2312"/>
          <w:bCs/>
          <w:sz w:val="32"/>
          <w:szCs w:val="32"/>
        </w:rPr>
        <w:t>D</w:t>
      </w:r>
      <w:r w:rsidRPr="00B701D2">
        <w:rPr>
          <w:rFonts w:eastAsia="楷体_GB2312" w:hint="eastAsia"/>
          <w:bCs/>
          <w:sz w:val="32"/>
          <w:szCs w:val="32"/>
        </w:rPr>
        <w:t>（</w:t>
      </w:r>
      <w:r w:rsidRPr="00B701D2">
        <w:rPr>
          <w:rFonts w:eastAsia="楷体_GB2312"/>
          <w:bCs/>
          <w:sz w:val="32"/>
          <w:szCs w:val="32"/>
        </w:rPr>
        <w:t>FDA</w:t>
      </w:r>
      <w:r w:rsidRPr="00B701D2">
        <w:rPr>
          <w:rFonts w:eastAsia="楷体_GB2312" w:hint="eastAsia"/>
          <w:bCs/>
          <w:sz w:val="32"/>
          <w:szCs w:val="32"/>
        </w:rPr>
        <w:t>分类）</w:t>
      </w:r>
    </w:p>
    <w:p w:rsidR="00D61E64" w:rsidRPr="00B701D2" w:rsidRDefault="00D61E64" w:rsidP="00D61E64">
      <w:pPr>
        <w:pStyle w:val="TextTi12"/>
        <w:spacing w:after="0" w:line="600" w:lineRule="exact"/>
        <w:ind w:firstLineChars="200" w:firstLine="640"/>
        <w:rPr>
          <w:rFonts w:ascii="仿宋_GB2312" w:eastAsia="仿宋_GB2312" w:hAnsi="仿宋"/>
          <w:kern w:val="2"/>
          <w:sz w:val="32"/>
          <w:szCs w:val="32"/>
          <w:lang w:val="en-US" w:eastAsia="zh-CN"/>
        </w:rPr>
      </w:pPr>
      <w:r w:rsidRPr="00B701D2">
        <w:rPr>
          <w:rFonts w:ascii="仿宋_GB2312" w:eastAsia="仿宋_GB2312" w:hAnsi="仿宋" w:hint="eastAsia"/>
          <w:kern w:val="2"/>
          <w:sz w:val="32"/>
          <w:szCs w:val="32"/>
          <w:lang w:val="en-US" w:eastAsia="zh-CN"/>
        </w:rPr>
        <w:t>在妊娠期间使用麦考酚钠，会使出现流产和先天性畸形的风险增加。已经报道了与吗替麦考酚酸酯有关的先天性畸形，以及孕期使用吗替麦考酚酯可增加自然流产的风险。吗替麦考酚酯口服或静脉给药后转化为麦考酚酸，因此麦考酚钠肠溶片也应当考虑与吗替麦考酚酯的风险。</w:t>
      </w:r>
    </w:p>
    <w:p w:rsidR="00D61E64" w:rsidRPr="00B701D2" w:rsidRDefault="00D61E64" w:rsidP="00D61E64">
      <w:pPr>
        <w:pStyle w:val="TextTi12"/>
        <w:spacing w:after="0" w:line="600" w:lineRule="exact"/>
        <w:ind w:firstLineChars="200" w:firstLine="640"/>
        <w:rPr>
          <w:rFonts w:ascii="仿宋_GB2312" w:eastAsia="仿宋_GB2312" w:hAnsi="仿宋"/>
          <w:kern w:val="2"/>
          <w:sz w:val="32"/>
          <w:szCs w:val="32"/>
          <w:lang w:val="en-US" w:eastAsia="zh-CN"/>
        </w:rPr>
      </w:pPr>
      <w:r w:rsidRPr="00B701D2">
        <w:rPr>
          <w:rFonts w:ascii="仿宋_GB2312" w:eastAsia="仿宋_GB2312" w:hAnsi="仿宋" w:hint="eastAsia"/>
          <w:kern w:val="2"/>
          <w:sz w:val="32"/>
          <w:szCs w:val="32"/>
          <w:lang w:val="en-US" w:eastAsia="zh-CN"/>
        </w:rPr>
        <w:t>本品禁止用于孕妇和未使用高效避孕方法的育龄期妇女。</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具有生育能力的患者在开始使用本品进行治疗前，必须充分</w:t>
      </w:r>
      <w:r w:rsidRPr="00B701D2">
        <w:rPr>
          <w:rFonts w:ascii="仿宋_GB2312" w:eastAsia="仿宋_GB2312" w:hAnsi="仿宋" w:hint="eastAsia"/>
          <w:sz w:val="32"/>
          <w:szCs w:val="32"/>
        </w:rPr>
        <w:lastRenderedPageBreak/>
        <w:t>知悉本品会增加妊娠丢失和先天性畸形的风险，必须向医生咨询关于避孕和怀孕的建议。</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具有生育能力的女性患者在开始使用本品进行治疗之前，必须有两次血清或尿液妊娠试验检测阴性结果，且灵敏度至少为</w:t>
      </w:r>
      <w:r w:rsidRPr="00B701D2">
        <w:rPr>
          <w:rFonts w:eastAsia="仿宋_GB2312"/>
          <w:sz w:val="32"/>
          <w:szCs w:val="32"/>
        </w:rPr>
        <w:t>25mlU/mL</w:t>
      </w:r>
      <w:r w:rsidRPr="00B701D2">
        <w:rPr>
          <w:rFonts w:eastAsia="仿宋_GB2312" w:hint="eastAsia"/>
          <w:sz w:val="32"/>
          <w:szCs w:val="32"/>
        </w:rPr>
        <w:t>；第二次检测应在首次检测后</w:t>
      </w:r>
      <w:r w:rsidRPr="00B701D2">
        <w:rPr>
          <w:rFonts w:eastAsia="仿宋_GB2312"/>
          <w:sz w:val="32"/>
          <w:szCs w:val="32"/>
        </w:rPr>
        <w:t>8</w:t>
      </w:r>
      <w:r>
        <w:rPr>
          <w:rFonts w:eastAsia="仿宋_GB2312" w:hint="eastAsia"/>
          <w:sz w:val="32"/>
          <w:szCs w:val="32"/>
        </w:rPr>
        <w:t>—</w:t>
      </w:r>
      <w:r w:rsidRPr="00B701D2">
        <w:rPr>
          <w:rFonts w:eastAsia="仿宋_GB2312"/>
          <w:sz w:val="32"/>
          <w:szCs w:val="32"/>
        </w:rPr>
        <w:t>10</w:t>
      </w:r>
      <w:r w:rsidRPr="00B701D2">
        <w:rPr>
          <w:rFonts w:eastAsia="仿宋_GB2312" w:hint="eastAsia"/>
          <w:sz w:val="32"/>
          <w:szCs w:val="32"/>
        </w:rPr>
        <w:t>天，且于即将开始</w:t>
      </w:r>
      <w:r w:rsidRPr="00B701D2">
        <w:rPr>
          <w:rFonts w:ascii="仿宋_GB2312" w:eastAsia="仿宋_GB2312" w:hAnsi="仿宋" w:hint="eastAsia"/>
          <w:sz w:val="32"/>
          <w:szCs w:val="32"/>
        </w:rPr>
        <w:t>使用本品治疗之前进行。患者在常规随访过程中，应重复进行妊娠试验检测。医生应就所有妊娠试验结果与患者进行讨论。患者应充分知悉，怀孕后需立即咨询医生。</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由于本品具有致突变和致畸的可能性，建议有生育能力的女性患者在开始使用本品进行治疗之前，治疗期间及治疗终止后</w:t>
      </w:r>
      <w:r w:rsidRPr="00B701D2">
        <w:rPr>
          <w:rFonts w:eastAsia="仿宋_GB2312"/>
          <w:sz w:val="32"/>
          <w:szCs w:val="32"/>
        </w:rPr>
        <w:t>6</w:t>
      </w:r>
      <w:r w:rsidRPr="00B701D2">
        <w:rPr>
          <w:rFonts w:eastAsia="仿宋_GB2312"/>
          <w:sz w:val="32"/>
          <w:szCs w:val="32"/>
        </w:rPr>
        <w:t>周内，应同时采用两种可靠的避孕措施，至少包含一种高效方法，或是选择禁欲作为避孕措施。建议性活跃的男性患者在治疗期间及治疗终止后至少</w:t>
      </w:r>
      <w:r w:rsidRPr="00B701D2">
        <w:rPr>
          <w:rFonts w:eastAsia="仿宋_GB2312"/>
          <w:sz w:val="32"/>
          <w:szCs w:val="32"/>
        </w:rPr>
        <w:t>90</w:t>
      </w:r>
      <w:r w:rsidRPr="00B701D2">
        <w:rPr>
          <w:rFonts w:eastAsia="仿宋_GB2312"/>
          <w:sz w:val="32"/>
          <w:szCs w:val="32"/>
        </w:rPr>
        <w:t>天内使用避孕套进行避孕。避孕套既适用于具有生殖能力的男性患者，也适用于输精管结扎术后的男性患者，因为输精管结扎术后的男性患者也可能存在精液传送的相关风险。此外，建议男性患者的女性伴侣在其治疗期间及最后一剂本品给药后至少</w:t>
      </w:r>
      <w:r w:rsidRPr="00B701D2">
        <w:rPr>
          <w:rFonts w:eastAsia="仿宋_GB2312"/>
          <w:sz w:val="32"/>
          <w:szCs w:val="32"/>
        </w:rPr>
        <w:t>90</w:t>
      </w:r>
      <w:r w:rsidRPr="00B701D2">
        <w:rPr>
          <w:rFonts w:eastAsia="仿宋_GB2312"/>
          <w:sz w:val="32"/>
          <w:szCs w:val="32"/>
        </w:rPr>
        <w:t>天内采取高效的避孕方法。</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上市后已经报告了妊娠期内接受吗替麦考酚酯和其他免疫抑制剂联合治疗的患者的子女中，出现先天性畸形，包括多发畸形的情况。</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最常报告的畸形相关的不良事件，如下所述：</w:t>
      </w:r>
    </w:p>
    <w:p w:rsidR="00D61E64" w:rsidRPr="00B701D2" w:rsidRDefault="00D61E64" w:rsidP="00D61E64">
      <w:pPr>
        <w:spacing w:line="600" w:lineRule="exact"/>
        <w:ind w:leftChars="200" w:left="1060" w:hangingChars="200" w:hanging="640"/>
        <w:rPr>
          <w:rFonts w:ascii="仿宋_GB2312" w:eastAsia="仿宋_GB2312" w:hAnsi="仿宋"/>
          <w:sz w:val="32"/>
          <w:szCs w:val="32"/>
        </w:rPr>
      </w:pPr>
      <w:r w:rsidRPr="00B701D2">
        <w:rPr>
          <w:rFonts w:ascii="仿宋_GB2312" w:eastAsia="仿宋_GB2312" w:hAnsi="仿宋" w:hint="eastAsia"/>
          <w:sz w:val="32"/>
          <w:szCs w:val="32"/>
        </w:rPr>
        <w:t>•</w:t>
      </w:r>
      <w:r w:rsidRPr="00B701D2">
        <w:rPr>
          <w:rFonts w:ascii="仿宋_GB2312" w:eastAsia="仿宋_GB2312" w:hAnsi="仿宋"/>
          <w:sz w:val="32"/>
          <w:szCs w:val="32"/>
        </w:rPr>
        <w:tab/>
      </w:r>
      <w:r w:rsidRPr="00B701D2">
        <w:rPr>
          <w:rFonts w:ascii="仿宋_GB2312" w:eastAsia="仿宋_GB2312" w:hAnsi="仿宋" w:hint="eastAsia"/>
          <w:sz w:val="32"/>
          <w:szCs w:val="32"/>
        </w:rPr>
        <w:t>面部畸形（例如唇裂、上腭裂、小颌畸形和眼距增宽）</w:t>
      </w:r>
    </w:p>
    <w:p w:rsidR="00D61E64" w:rsidRPr="00B701D2" w:rsidRDefault="00D61E64" w:rsidP="00D61E64">
      <w:pPr>
        <w:spacing w:line="600" w:lineRule="exact"/>
        <w:ind w:leftChars="200" w:left="1060" w:hangingChars="200" w:hanging="640"/>
        <w:rPr>
          <w:rFonts w:ascii="仿宋_GB2312" w:eastAsia="仿宋_GB2312" w:hAnsi="仿宋"/>
          <w:sz w:val="32"/>
          <w:szCs w:val="32"/>
        </w:rPr>
      </w:pPr>
      <w:r w:rsidRPr="00B701D2">
        <w:rPr>
          <w:rFonts w:ascii="仿宋_GB2312" w:eastAsia="仿宋_GB2312" w:hAnsi="仿宋" w:hint="eastAsia"/>
          <w:sz w:val="32"/>
          <w:szCs w:val="32"/>
        </w:rPr>
        <w:lastRenderedPageBreak/>
        <w:t>•</w:t>
      </w:r>
      <w:r w:rsidRPr="00B701D2">
        <w:rPr>
          <w:rFonts w:ascii="仿宋_GB2312" w:eastAsia="仿宋_GB2312" w:hAnsi="仿宋"/>
          <w:sz w:val="32"/>
          <w:szCs w:val="32"/>
        </w:rPr>
        <w:tab/>
      </w:r>
      <w:r w:rsidRPr="00B701D2">
        <w:rPr>
          <w:rFonts w:ascii="仿宋_GB2312" w:eastAsia="仿宋_GB2312" w:hAnsi="仿宋" w:hint="eastAsia"/>
          <w:sz w:val="32"/>
          <w:szCs w:val="32"/>
        </w:rPr>
        <w:t>耳部异常（例如外耳</w:t>
      </w:r>
      <w:r w:rsidRPr="00B701D2">
        <w:rPr>
          <w:rFonts w:ascii="仿宋_GB2312" w:eastAsia="仿宋_GB2312" w:hAnsi="仿宋"/>
          <w:sz w:val="32"/>
          <w:szCs w:val="32"/>
        </w:rPr>
        <w:t>/</w:t>
      </w:r>
      <w:r w:rsidRPr="00B701D2">
        <w:rPr>
          <w:rFonts w:ascii="仿宋_GB2312" w:eastAsia="仿宋_GB2312" w:hAnsi="仿宋" w:hint="eastAsia"/>
          <w:sz w:val="32"/>
          <w:szCs w:val="32"/>
        </w:rPr>
        <w:t>中耳发育异常或缺如）和眼部异常（例如眼组织缺损、小眼症）</w:t>
      </w:r>
    </w:p>
    <w:p w:rsidR="00D61E64" w:rsidRPr="00B701D2" w:rsidRDefault="00D61E64" w:rsidP="00D61E64">
      <w:pPr>
        <w:spacing w:line="600" w:lineRule="exact"/>
        <w:ind w:leftChars="200" w:left="1060" w:hangingChars="200" w:hanging="640"/>
        <w:rPr>
          <w:rFonts w:ascii="仿宋_GB2312" w:eastAsia="仿宋_GB2312" w:hAnsi="仿宋"/>
          <w:sz w:val="32"/>
          <w:szCs w:val="32"/>
        </w:rPr>
      </w:pPr>
      <w:r w:rsidRPr="00B701D2">
        <w:rPr>
          <w:rFonts w:ascii="仿宋_GB2312" w:eastAsia="仿宋_GB2312" w:hAnsi="仿宋" w:hint="eastAsia"/>
          <w:sz w:val="32"/>
          <w:szCs w:val="32"/>
        </w:rPr>
        <w:t>•</w:t>
      </w:r>
      <w:r w:rsidRPr="00B701D2">
        <w:rPr>
          <w:rFonts w:ascii="仿宋_GB2312" w:eastAsia="仿宋_GB2312" w:hAnsi="仿宋"/>
          <w:sz w:val="32"/>
          <w:szCs w:val="32"/>
        </w:rPr>
        <w:tab/>
      </w:r>
      <w:r w:rsidRPr="00B701D2">
        <w:rPr>
          <w:rFonts w:ascii="仿宋_GB2312" w:eastAsia="仿宋_GB2312" w:hAnsi="仿宋" w:hint="eastAsia"/>
          <w:sz w:val="32"/>
          <w:szCs w:val="32"/>
        </w:rPr>
        <w:t>手指畸形（例如多指畸形、并指、短指）</w:t>
      </w:r>
    </w:p>
    <w:p w:rsidR="00D61E64" w:rsidRPr="00B701D2" w:rsidRDefault="00D61E64" w:rsidP="00D61E64">
      <w:pPr>
        <w:spacing w:line="600" w:lineRule="exact"/>
        <w:ind w:leftChars="200" w:left="1060" w:hangingChars="200" w:hanging="640"/>
        <w:rPr>
          <w:rFonts w:ascii="仿宋_GB2312" w:eastAsia="仿宋_GB2312" w:hAnsi="仿宋"/>
          <w:sz w:val="32"/>
          <w:szCs w:val="32"/>
        </w:rPr>
      </w:pPr>
      <w:r w:rsidRPr="00B701D2">
        <w:rPr>
          <w:rFonts w:ascii="仿宋_GB2312" w:eastAsia="仿宋_GB2312" w:hAnsi="仿宋" w:hint="eastAsia"/>
          <w:sz w:val="32"/>
          <w:szCs w:val="32"/>
        </w:rPr>
        <w:t>•</w:t>
      </w:r>
      <w:r w:rsidRPr="00B701D2">
        <w:rPr>
          <w:rFonts w:ascii="仿宋_GB2312" w:eastAsia="仿宋_GB2312" w:hAnsi="仿宋"/>
          <w:sz w:val="32"/>
          <w:szCs w:val="32"/>
        </w:rPr>
        <w:tab/>
      </w:r>
      <w:r w:rsidRPr="00B701D2">
        <w:rPr>
          <w:rFonts w:ascii="仿宋_GB2312" w:eastAsia="仿宋_GB2312" w:hAnsi="仿宋" w:hint="eastAsia"/>
          <w:sz w:val="32"/>
          <w:szCs w:val="32"/>
        </w:rPr>
        <w:t>心脏畸形（例如房间隔缺损、室间隔缺损）</w:t>
      </w:r>
    </w:p>
    <w:p w:rsidR="00D61E64" w:rsidRPr="00B701D2" w:rsidRDefault="00D61E64" w:rsidP="00D61E64">
      <w:pPr>
        <w:spacing w:line="600" w:lineRule="exact"/>
        <w:ind w:leftChars="200" w:left="1060" w:hangingChars="200" w:hanging="640"/>
        <w:rPr>
          <w:rFonts w:ascii="仿宋_GB2312" w:eastAsia="仿宋_GB2312" w:hAnsi="仿宋"/>
          <w:sz w:val="32"/>
          <w:szCs w:val="32"/>
        </w:rPr>
      </w:pPr>
      <w:r w:rsidRPr="00B701D2">
        <w:rPr>
          <w:rFonts w:ascii="仿宋_GB2312" w:eastAsia="仿宋_GB2312" w:hAnsi="仿宋" w:hint="eastAsia"/>
          <w:sz w:val="32"/>
          <w:szCs w:val="32"/>
        </w:rPr>
        <w:t>•</w:t>
      </w:r>
      <w:r w:rsidRPr="00B701D2">
        <w:rPr>
          <w:rFonts w:ascii="仿宋_GB2312" w:eastAsia="仿宋_GB2312" w:hAnsi="仿宋"/>
          <w:sz w:val="32"/>
          <w:szCs w:val="32"/>
        </w:rPr>
        <w:tab/>
      </w:r>
      <w:r w:rsidRPr="00B701D2">
        <w:rPr>
          <w:rFonts w:ascii="仿宋_GB2312" w:eastAsia="仿宋_GB2312" w:hAnsi="仿宋" w:hint="eastAsia"/>
          <w:sz w:val="32"/>
          <w:szCs w:val="32"/>
        </w:rPr>
        <w:t>食管畸形（例如食管闭锁）</w:t>
      </w:r>
    </w:p>
    <w:p w:rsidR="00D61E64" w:rsidRPr="00B701D2" w:rsidRDefault="00D61E64" w:rsidP="00D61E64">
      <w:pPr>
        <w:spacing w:line="600" w:lineRule="exact"/>
        <w:ind w:leftChars="200" w:left="1060" w:hangingChars="200" w:hanging="640"/>
        <w:rPr>
          <w:rFonts w:ascii="仿宋_GB2312" w:eastAsia="仿宋_GB2312" w:hAnsi="仿宋"/>
          <w:sz w:val="32"/>
          <w:szCs w:val="32"/>
        </w:rPr>
      </w:pPr>
      <w:r w:rsidRPr="00B701D2">
        <w:rPr>
          <w:rFonts w:ascii="仿宋_GB2312" w:eastAsia="仿宋_GB2312" w:hAnsi="仿宋" w:hint="eastAsia"/>
          <w:sz w:val="32"/>
          <w:szCs w:val="32"/>
        </w:rPr>
        <w:t>•</w:t>
      </w:r>
      <w:r w:rsidRPr="00B701D2">
        <w:rPr>
          <w:rFonts w:ascii="仿宋_GB2312" w:eastAsia="仿宋_GB2312" w:hAnsi="仿宋"/>
          <w:sz w:val="32"/>
          <w:szCs w:val="32"/>
        </w:rPr>
        <w:tab/>
      </w:r>
      <w:r w:rsidRPr="00B701D2">
        <w:rPr>
          <w:rFonts w:ascii="仿宋_GB2312" w:eastAsia="仿宋_GB2312" w:hAnsi="仿宋" w:hint="eastAsia"/>
          <w:sz w:val="32"/>
          <w:szCs w:val="32"/>
        </w:rPr>
        <w:t>神经系统畸形（例如脊柱裂）</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根据医学文献报道，在使用吗替麦考酚酯治疗的妊娠患者中，活产胎儿畸形率为</w:t>
      </w:r>
      <w:r w:rsidRPr="00B701D2">
        <w:rPr>
          <w:rFonts w:eastAsia="仿宋_GB2312"/>
          <w:sz w:val="32"/>
          <w:szCs w:val="32"/>
        </w:rPr>
        <w:t>23%</w:t>
      </w:r>
      <w:r>
        <w:rPr>
          <w:rFonts w:eastAsia="仿宋_GB2312" w:hint="eastAsia"/>
          <w:sz w:val="32"/>
          <w:szCs w:val="32"/>
        </w:rPr>
        <w:t>—</w:t>
      </w:r>
      <w:r w:rsidRPr="00B701D2">
        <w:rPr>
          <w:rFonts w:eastAsia="仿宋_GB2312"/>
          <w:sz w:val="32"/>
          <w:szCs w:val="32"/>
        </w:rPr>
        <w:t>27%</w:t>
      </w:r>
      <w:r w:rsidRPr="00B701D2">
        <w:rPr>
          <w:rFonts w:eastAsia="仿宋_GB2312"/>
          <w:sz w:val="32"/>
          <w:szCs w:val="32"/>
        </w:rPr>
        <w:t>；而在总人群中，活产胎儿畸形率为</w:t>
      </w:r>
      <w:r w:rsidRPr="00B701D2">
        <w:rPr>
          <w:rFonts w:eastAsia="仿宋_GB2312"/>
          <w:sz w:val="32"/>
          <w:szCs w:val="32"/>
        </w:rPr>
        <w:t>2%</w:t>
      </w:r>
      <w:r w:rsidRPr="00B701D2">
        <w:rPr>
          <w:rFonts w:eastAsia="仿宋_GB2312"/>
          <w:sz w:val="32"/>
          <w:szCs w:val="32"/>
        </w:rPr>
        <w:t>；在使用其他免疫抑制剂治疗的实体器官移植受者中，活产胎儿畸形率约为</w:t>
      </w:r>
      <w:r w:rsidRPr="00B701D2">
        <w:rPr>
          <w:rFonts w:eastAsia="仿宋_GB2312"/>
          <w:sz w:val="32"/>
          <w:szCs w:val="32"/>
        </w:rPr>
        <w:t>4%</w:t>
      </w:r>
      <w:r>
        <w:rPr>
          <w:rFonts w:eastAsia="仿宋_GB2312" w:hint="eastAsia"/>
          <w:sz w:val="32"/>
          <w:szCs w:val="32"/>
        </w:rPr>
        <w:t>—</w:t>
      </w:r>
      <w:r w:rsidRPr="00B701D2">
        <w:rPr>
          <w:rFonts w:eastAsia="仿宋_GB2312"/>
          <w:sz w:val="32"/>
          <w:szCs w:val="32"/>
        </w:rPr>
        <w:t>5%</w:t>
      </w:r>
      <w:r w:rsidRPr="00B701D2">
        <w:rPr>
          <w:rFonts w:eastAsia="仿宋_GB2312"/>
          <w:sz w:val="32"/>
          <w:szCs w:val="32"/>
        </w:rPr>
        <w:t>。</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在暴露于吗替麦考酚酯的患者（主要是妊娠早期）中有关于自然流产事件的报告了。</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根据医学文献报道，在使用吗替麦考酚酯治疗的妊娠患者中，自然流产的报告率为</w:t>
      </w:r>
      <w:r w:rsidRPr="00B701D2">
        <w:rPr>
          <w:rFonts w:eastAsia="仿宋_GB2312"/>
          <w:sz w:val="32"/>
          <w:szCs w:val="32"/>
        </w:rPr>
        <w:t>45%</w:t>
      </w:r>
      <w:r>
        <w:rPr>
          <w:rFonts w:eastAsia="仿宋_GB2312" w:hint="eastAsia"/>
          <w:sz w:val="32"/>
          <w:szCs w:val="32"/>
        </w:rPr>
        <w:t>—</w:t>
      </w:r>
      <w:r w:rsidRPr="00B701D2">
        <w:rPr>
          <w:rFonts w:eastAsia="仿宋_GB2312"/>
          <w:sz w:val="32"/>
          <w:szCs w:val="32"/>
        </w:rPr>
        <w:t>49%</w:t>
      </w:r>
      <w:r w:rsidRPr="00B701D2">
        <w:rPr>
          <w:rFonts w:eastAsia="仿宋_GB2312"/>
          <w:sz w:val="32"/>
          <w:szCs w:val="32"/>
        </w:rPr>
        <w:t>；而在使用其他免疫抑制剂治疗的实体器官移植受者中，自然流产的报告率为</w:t>
      </w:r>
      <w:r w:rsidRPr="00B701D2">
        <w:rPr>
          <w:rFonts w:eastAsia="仿宋_GB2312"/>
          <w:sz w:val="32"/>
          <w:szCs w:val="32"/>
        </w:rPr>
        <w:t>12%</w:t>
      </w:r>
      <w:r>
        <w:rPr>
          <w:rFonts w:eastAsia="仿宋_GB2312" w:hint="eastAsia"/>
          <w:sz w:val="32"/>
          <w:szCs w:val="32"/>
        </w:rPr>
        <w:t>—</w:t>
      </w:r>
      <w:r w:rsidRPr="00B701D2">
        <w:rPr>
          <w:rFonts w:eastAsia="仿宋_GB2312"/>
          <w:sz w:val="32"/>
          <w:szCs w:val="32"/>
        </w:rPr>
        <w:t>33%</w:t>
      </w:r>
      <w:r w:rsidRPr="00B701D2">
        <w:rPr>
          <w:rFonts w:eastAsia="仿宋_GB2312"/>
          <w:sz w:val="32"/>
          <w:szCs w:val="32"/>
        </w:rPr>
        <w:t>。</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动物研究表明本品具有生殖毒性。</w:t>
      </w:r>
    </w:p>
    <w:p w:rsidR="00D61E64" w:rsidRPr="00B701D2" w:rsidRDefault="00D61E64" w:rsidP="00D61E64">
      <w:pPr>
        <w:spacing w:line="600" w:lineRule="exact"/>
        <w:ind w:firstLineChars="200" w:firstLine="640"/>
        <w:rPr>
          <w:rFonts w:ascii="楷体_GB2312" w:eastAsia="楷体_GB2312"/>
          <w:sz w:val="32"/>
          <w:szCs w:val="32"/>
        </w:rPr>
      </w:pPr>
      <w:r w:rsidRPr="00B701D2">
        <w:rPr>
          <w:rFonts w:ascii="楷体_GB2312" w:eastAsia="楷体_GB2312"/>
          <w:sz w:val="32"/>
          <w:szCs w:val="32"/>
        </w:rPr>
        <w:t>哺乳</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由于本品可能会导致哺乳期婴儿发生严重不良反应，所以本品禁用于哺乳期妇女。</w:t>
      </w:r>
    </w:p>
    <w:sectPr w:rsidR="00D61E64" w:rsidRPr="00B701D2" w:rsidSect="00B701D2">
      <w:footerReference w:type="even" r:id="rId7"/>
      <w:footerReference w:type="default" r:id="rId8"/>
      <w:pgSz w:w="11906" w:h="16838"/>
      <w:pgMar w:top="192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C29" w:rsidRDefault="00F55C29" w:rsidP="00D61E64">
      <w:r>
        <w:separator/>
      </w:r>
    </w:p>
  </w:endnote>
  <w:endnote w:type="continuationSeparator" w:id="1">
    <w:p w:rsidR="00F55C29" w:rsidRDefault="00F55C29" w:rsidP="00D61E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57" w:rsidRPr="00B701D2" w:rsidRDefault="00BD3695">
    <w:pPr>
      <w:pStyle w:val="a4"/>
      <w:rPr>
        <w:sz w:val="28"/>
        <w:szCs w:val="28"/>
      </w:rPr>
    </w:pPr>
    <w:r w:rsidRPr="00B701D2">
      <w:rPr>
        <w:rFonts w:hint="eastAsia"/>
        <w:color w:val="FFFFFF" w:themeColor="background1"/>
        <w:sz w:val="28"/>
        <w:szCs w:val="28"/>
      </w:rPr>
      <w:t>—</w:t>
    </w:r>
    <w:r w:rsidRPr="00B701D2">
      <w:rPr>
        <w:rFonts w:hint="eastAsia"/>
        <w:sz w:val="28"/>
        <w:szCs w:val="28"/>
      </w:rPr>
      <w:t>—</w:t>
    </w:r>
    <w:sdt>
      <w:sdtPr>
        <w:rPr>
          <w:sz w:val="28"/>
          <w:szCs w:val="28"/>
        </w:rPr>
        <w:id w:val="-1400520936"/>
        <w:docPartObj>
          <w:docPartGallery w:val="Page Numbers (Bottom of Page)"/>
          <w:docPartUnique/>
        </w:docPartObj>
      </w:sdtPr>
      <w:sdtContent>
        <w:r w:rsidR="007C1075" w:rsidRPr="00B701D2">
          <w:rPr>
            <w:sz w:val="28"/>
            <w:szCs w:val="28"/>
          </w:rPr>
          <w:fldChar w:fldCharType="begin"/>
        </w:r>
        <w:r w:rsidRPr="00B701D2">
          <w:rPr>
            <w:sz w:val="28"/>
            <w:szCs w:val="28"/>
          </w:rPr>
          <w:instrText>PAGE   \* MERGEFORMAT</w:instrText>
        </w:r>
        <w:r w:rsidR="007C1075" w:rsidRPr="00B701D2">
          <w:rPr>
            <w:sz w:val="28"/>
            <w:szCs w:val="28"/>
          </w:rPr>
          <w:fldChar w:fldCharType="separate"/>
        </w:r>
        <w:r w:rsidRPr="00E2337C">
          <w:rPr>
            <w:noProof/>
            <w:sz w:val="28"/>
            <w:szCs w:val="28"/>
            <w:lang w:val="zh-CN"/>
          </w:rPr>
          <w:t>2</w:t>
        </w:r>
        <w:r w:rsidR="007C1075" w:rsidRPr="00B701D2">
          <w:rPr>
            <w:sz w:val="28"/>
            <w:szCs w:val="28"/>
          </w:rPr>
          <w:fldChar w:fldCharType="end"/>
        </w:r>
        <w:r w:rsidRPr="00B701D2">
          <w:rPr>
            <w:rFonts w:hint="eastAsia"/>
            <w:sz w:val="28"/>
            <w:szCs w:val="28"/>
          </w:rPr>
          <w:t>—</w:t>
        </w:r>
      </w:sdtContent>
    </w:sdt>
  </w:p>
  <w:p w:rsidR="00FF3457" w:rsidRDefault="00F55C2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57" w:rsidRPr="00B701D2" w:rsidRDefault="00BD3695">
    <w:pPr>
      <w:pStyle w:val="a4"/>
      <w:jc w:val="right"/>
      <w:rPr>
        <w:sz w:val="28"/>
        <w:szCs w:val="28"/>
      </w:rPr>
    </w:pPr>
    <w:r w:rsidRPr="00B701D2">
      <w:rPr>
        <w:rFonts w:hint="eastAsia"/>
        <w:sz w:val="28"/>
        <w:szCs w:val="28"/>
      </w:rPr>
      <w:t>—</w:t>
    </w:r>
    <w:sdt>
      <w:sdtPr>
        <w:rPr>
          <w:sz w:val="28"/>
          <w:szCs w:val="28"/>
        </w:rPr>
        <w:id w:val="-533887832"/>
        <w:docPartObj>
          <w:docPartGallery w:val="Page Numbers (Bottom of Page)"/>
          <w:docPartUnique/>
        </w:docPartObj>
      </w:sdtPr>
      <w:sdtEndPr>
        <w:rPr>
          <w:color w:val="FFFFFF" w:themeColor="background1"/>
        </w:rPr>
      </w:sdtEndPr>
      <w:sdtContent>
        <w:r w:rsidR="007C1075" w:rsidRPr="00B701D2">
          <w:rPr>
            <w:sz w:val="28"/>
            <w:szCs w:val="28"/>
          </w:rPr>
          <w:fldChar w:fldCharType="begin"/>
        </w:r>
        <w:r w:rsidRPr="00B701D2">
          <w:rPr>
            <w:sz w:val="28"/>
            <w:szCs w:val="28"/>
          </w:rPr>
          <w:instrText>PAGE   \* MERGEFORMAT</w:instrText>
        </w:r>
        <w:r w:rsidR="007C1075" w:rsidRPr="00B701D2">
          <w:rPr>
            <w:sz w:val="28"/>
            <w:szCs w:val="28"/>
          </w:rPr>
          <w:fldChar w:fldCharType="separate"/>
        </w:r>
        <w:r w:rsidR="00E04EBD" w:rsidRPr="00E04EBD">
          <w:rPr>
            <w:noProof/>
            <w:sz w:val="28"/>
            <w:szCs w:val="28"/>
            <w:lang w:val="zh-CN"/>
          </w:rPr>
          <w:t>3</w:t>
        </w:r>
        <w:r w:rsidR="007C1075" w:rsidRPr="00B701D2">
          <w:rPr>
            <w:sz w:val="28"/>
            <w:szCs w:val="28"/>
          </w:rPr>
          <w:fldChar w:fldCharType="end"/>
        </w:r>
        <w:r w:rsidRPr="00B701D2">
          <w:rPr>
            <w:rFonts w:hint="eastAsia"/>
            <w:sz w:val="28"/>
            <w:szCs w:val="28"/>
          </w:rPr>
          <w:t>—</w:t>
        </w:r>
        <w:r w:rsidRPr="00B701D2">
          <w:rPr>
            <w:rFonts w:hint="eastAsia"/>
            <w:color w:val="FFFFFF" w:themeColor="background1"/>
            <w:sz w:val="28"/>
            <w:szCs w:val="28"/>
          </w:rPr>
          <w:t>—</w:t>
        </w:r>
      </w:sdtContent>
    </w:sdt>
  </w:p>
  <w:p w:rsidR="004F1158" w:rsidRDefault="00F55C2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C29" w:rsidRDefault="00F55C29" w:rsidP="00D61E64">
      <w:r>
        <w:separator/>
      </w:r>
    </w:p>
  </w:footnote>
  <w:footnote w:type="continuationSeparator" w:id="1">
    <w:p w:rsidR="00F55C29" w:rsidRDefault="00F55C29" w:rsidP="00D61E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4907BF"/>
    <w:multiLevelType w:val="hybridMultilevel"/>
    <w:tmpl w:val="B95444C2"/>
    <w:lvl w:ilvl="0" w:tplc="161C9AEC">
      <w:start w:val="1"/>
      <w:numFmt w:val="bullet"/>
      <w:lvlText w:val=""/>
      <w:lvlJc w:val="left"/>
      <w:pPr>
        <w:tabs>
          <w:tab w:val="num" w:pos="720"/>
        </w:tabs>
        <w:ind w:left="720" w:hanging="360"/>
      </w:pPr>
      <w:rPr>
        <w:rFonts w:ascii="Symbol" w:hAnsi="Symbol" w:hint="default"/>
      </w:rPr>
    </w:lvl>
    <w:lvl w:ilvl="1" w:tplc="D946F244">
      <w:start w:val="1"/>
      <w:numFmt w:val="bullet"/>
      <w:lvlText w:val=""/>
      <w:lvlJc w:val="left"/>
      <w:pPr>
        <w:tabs>
          <w:tab w:val="num" w:pos="1440"/>
        </w:tabs>
        <w:ind w:left="1440" w:hanging="360"/>
      </w:pPr>
      <w:rPr>
        <w:rFonts w:ascii="Symbol" w:hAnsi="Symbol" w:cs="Courier New" w:hint="default"/>
        <w:color w:val="auto"/>
      </w:rPr>
    </w:lvl>
    <w:lvl w:ilvl="2" w:tplc="DF0C8560" w:tentative="1">
      <w:start w:val="1"/>
      <w:numFmt w:val="bullet"/>
      <w:lvlText w:val=""/>
      <w:lvlJc w:val="left"/>
      <w:pPr>
        <w:tabs>
          <w:tab w:val="num" w:pos="2160"/>
        </w:tabs>
        <w:ind w:left="2160" w:hanging="360"/>
      </w:pPr>
      <w:rPr>
        <w:rFonts w:ascii="Wingdings" w:hAnsi="Wingdings" w:hint="default"/>
      </w:rPr>
    </w:lvl>
    <w:lvl w:ilvl="3" w:tplc="13528A50" w:tentative="1">
      <w:start w:val="1"/>
      <w:numFmt w:val="bullet"/>
      <w:lvlText w:val=""/>
      <w:lvlJc w:val="left"/>
      <w:pPr>
        <w:tabs>
          <w:tab w:val="num" w:pos="2880"/>
        </w:tabs>
        <w:ind w:left="2880" w:hanging="360"/>
      </w:pPr>
      <w:rPr>
        <w:rFonts w:ascii="Symbol" w:hAnsi="Symbol" w:hint="default"/>
      </w:rPr>
    </w:lvl>
    <w:lvl w:ilvl="4" w:tplc="964686B6" w:tentative="1">
      <w:start w:val="1"/>
      <w:numFmt w:val="bullet"/>
      <w:lvlText w:val="o"/>
      <w:lvlJc w:val="left"/>
      <w:pPr>
        <w:tabs>
          <w:tab w:val="num" w:pos="3600"/>
        </w:tabs>
        <w:ind w:left="3600" w:hanging="360"/>
      </w:pPr>
      <w:rPr>
        <w:rFonts w:ascii="Courier New" w:hAnsi="Courier New" w:hint="default"/>
      </w:rPr>
    </w:lvl>
    <w:lvl w:ilvl="5" w:tplc="77100F16" w:tentative="1">
      <w:start w:val="1"/>
      <w:numFmt w:val="bullet"/>
      <w:lvlText w:val=""/>
      <w:lvlJc w:val="left"/>
      <w:pPr>
        <w:tabs>
          <w:tab w:val="num" w:pos="4320"/>
        </w:tabs>
        <w:ind w:left="4320" w:hanging="360"/>
      </w:pPr>
      <w:rPr>
        <w:rFonts w:ascii="Wingdings" w:hAnsi="Wingdings" w:hint="default"/>
      </w:rPr>
    </w:lvl>
    <w:lvl w:ilvl="6" w:tplc="3EAE298A" w:tentative="1">
      <w:start w:val="1"/>
      <w:numFmt w:val="bullet"/>
      <w:lvlText w:val=""/>
      <w:lvlJc w:val="left"/>
      <w:pPr>
        <w:tabs>
          <w:tab w:val="num" w:pos="5040"/>
        </w:tabs>
        <w:ind w:left="5040" w:hanging="360"/>
      </w:pPr>
      <w:rPr>
        <w:rFonts w:ascii="Symbol" w:hAnsi="Symbol" w:hint="default"/>
      </w:rPr>
    </w:lvl>
    <w:lvl w:ilvl="7" w:tplc="FDA43BEC" w:tentative="1">
      <w:start w:val="1"/>
      <w:numFmt w:val="bullet"/>
      <w:lvlText w:val="o"/>
      <w:lvlJc w:val="left"/>
      <w:pPr>
        <w:tabs>
          <w:tab w:val="num" w:pos="5760"/>
        </w:tabs>
        <w:ind w:left="5760" w:hanging="360"/>
      </w:pPr>
      <w:rPr>
        <w:rFonts w:ascii="Courier New" w:hAnsi="Courier New" w:hint="default"/>
      </w:rPr>
    </w:lvl>
    <w:lvl w:ilvl="8" w:tplc="2CF2AE14" w:tentative="1">
      <w:start w:val="1"/>
      <w:numFmt w:val="bullet"/>
      <w:lvlText w:val=""/>
      <w:lvlJc w:val="left"/>
      <w:pPr>
        <w:tabs>
          <w:tab w:val="num" w:pos="6480"/>
        </w:tabs>
        <w:ind w:left="6480" w:hanging="360"/>
      </w:pPr>
      <w:rPr>
        <w:rFonts w:ascii="Wingdings" w:hAnsi="Wingdings" w:hint="default"/>
      </w:rPr>
    </w:lvl>
  </w:abstractNum>
  <w:abstractNum w:abstractNumId="1">
    <w:nsid w:val="650070C8"/>
    <w:multiLevelType w:val="hybridMultilevel"/>
    <w:tmpl w:val="E42ABE40"/>
    <w:lvl w:ilvl="0" w:tplc="5FE08BE2">
      <w:start w:val="1"/>
      <w:numFmt w:val="bullet"/>
      <w:lvlText w:val=""/>
      <w:lvlJc w:val="left"/>
      <w:pPr>
        <w:tabs>
          <w:tab w:val="num" w:pos="720"/>
        </w:tabs>
        <w:ind w:left="720" w:hanging="360"/>
      </w:pPr>
      <w:rPr>
        <w:rFonts w:ascii="Symbol" w:hAnsi="Symbol" w:hint="default"/>
      </w:rPr>
    </w:lvl>
    <w:lvl w:ilvl="1" w:tplc="F558BD2A">
      <w:start w:val="1"/>
      <w:numFmt w:val="bullet"/>
      <w:lvlText w:val="o"/>
      <w:lvlJc w:val="left"/>
      <w:pPr>
        <w:tabs>
          <w:tab w:val="num" w:pos="1440"/>
        </w:tabs>
        <w:ind w:left="1440" w:hanging="360"/>
      </w:pPr>
      <w:rPr>
        <w:rFonts w:ascii="Courier New" w:hAnsi="Courier New" w:hint="default"/>
      </w:rPr>
    </w:lvl>
    <w:lvl w:ilvl="2" w:tplc="7E96B020" w:tentative="1">
      <w:start w:val="1"/>
      <w:numFmt w:val="bullet"/>
      <w:lvlText w:val=""/>
      <w:lvlJc w:val="left"/>
      <w:pPr>
        <w:tabs>
          <w:tab w:val="num" w:pos="2160"/>
        </w:tabs>
        <w:ind w:left="2160" w:hanging="360"/>
      </w:pPr>
      <w:rPr>
        <w:rFonts w:ascii="Wingdings" w:hAnsi="Wingdings" w:hint="default"/>
      </w:rPr>
    </w:lvl>
    <w:lvl w:ilvl="3" w:tplc="5A4C7E08" w:tentative="1">
      <w:start w:val="1"/>
      <w:numFmt w:val="bullet"/>
      <w:lvlText w:val=""/>
      <w:lvlJc w:val="left"/>
      <w:pPr>
        <w:tabs>
          <w:tab w:val="num" w:pos="2880"/>
        </w:tabs>
        <w:ind w:left="2880" w:hanging="360"/>
      </w:pPr>
      <w:rPr>
        <w:rFonts w:ascii="Symbol" w:hAnsi="Symbol" w:hint="default"/>
      </w:rPr>
    </w:lvl>
    <w:lvl w:ilvl="4" w:tplc="6B1EBA56" w:tentative="1">
      <w:start w:val="1"/>
      <w:numFmt w:val="bullet"/>
      <w:lvlText w:val="o"/>
      <w:lvlJc w:val="left"/>
      <w:pPr>
        <w:tabs>
          <w:tab w:val="num" w:pos="3600"/>
        </w:tabs>
        <w:ind w:left="3600" w:hanging="360"/>
      </w:pPr>
      <w:rPr>
        <w:rFonts w:ascii="Courier New" w:hAnsi="Courier New" w:hint="default"/>
      </w:rPr>
    </w:lvl>
    <w:lvl w:ilvl="5" w:tplc="1A00E4AA" w:tentative="1">
      <w:start w:val="1"/>
      <w:numFmt w:val="bullet"/>
      <w:lvlText w:val=""/>
      <w:lvlJc w:val="left"/>
      <w:pPr>
        <w:tabs>
          <w:tab w:val="num" w:pos="4320"/>
        </w:tabs>
        <w:ind w:left="4320" w:hanging="360"/>
      </w:pPr>
      <w:rPr>
        <w:rFonts w:ascii="Wingdings" w:hAnsi="Wingdings" w:hint="default"/>
      </w:rPr>
    </w:lvl>
    <w:lvl w:ilvl="6" w:tplc="F724A144" w:tentative="1">
      <w:start w:val="1"/>
      <w:numFmt w:val="bullet"/>
      <w:lvlText w:val=""/>
      <w:lvlJc w:val="left"/>
      <w:pPr>
        <w:tabs>
          <w:tab w:val="num" w:pos="5040"/>
        </w:tabs>
        <w:ind w:left="5040" w:hanging="360"/>
      </w:pPr>
      <w:rPr>
        <w:rFonts w:ascii="Symbol" w:hAnsi="Symbol" w:hint="default"/>
      </w:rPr>
    </w:lvl>
    <w:lvl w:ilvl="7" w:tplc="3B0A5382" w:tentative="1">
      <w:start w:val="1"/>
      <w:numFmt w:val="bullet"/>
      <w:lvlText w:val="o"/>
      <w:lvlJc w:val="left"/>
      <w:pPr>
        <w:tabs>
          <w:tab w:val="num" w:pos="5760"/>
        </w:tabs>
        <w:ind w:left="5760" w:hanging="360"/>
      </w:pPr>
      <w:rPr>
        <w:rFonts w:ascii="Courier New" w:hAnsi="Courier New" w:hint="default"/>
      </w:rPr>
    </w:lvl>
    <w:lvl w:ilvl="8" w:tplc="2C7AB8A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6693F"/>
    <w:rsid w:val="00691927"/>
    <w:rsid w:val="007C1075"/>
    <w:rsid w:val="0096693F"/>
    <w:rsid w:val="00BD3695"/>
    <w:rsid w:val="00D61E64"/>
    <w:rsid w:val="00E04EBD"/>
    <w:rsid w:val="00F55C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1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1E64"/>
    <w:rPr>
      <w:sz w:val="18"/>
      <w:szCs w:val="18"/>
    </w:rPr>
  </w:style>
  <w:style w:type="paragraph" w:styleId="a4">
    <w:name w:val="footer"/>
    <w:basedOn w:val="a"/>
    <w:link w:val="Char0"/>
    <w:uiPriority w:val="99"/>
    <w:unhideWhenUsed/>
    <w:rsid w:val="00D61E64"/>
    <w:pPr>
      <w:tabs>
        <w:tab w:val="center" w:pos="4153"/>
        <w:tab w:val="right" w:pos="8306"/>
      </w:tabs>
      <w:snapToGrid w:val="0"/>
      <w:jc w:val="left"/>
    </w:pPr>
    <w:rPr>
      <w:sz w:val="18"/>
      <w:szCs w:val="18"/>
    </w:rPr>
  </w:style>
  <w:style w:type="character" w:customStyle="1" w:styleId="Char0">
    <w:name w:val="页脚 Char"/>
    <w:basedOn w:val="a0"/>
    <w:link w:val="a4"/>
    <w:uiPriority w:val="99"/>
    <w:rsid w:val="00D61E64"/>
    <w:rPr>
      <w:sz w:val="18"/>
      <w:szCs w:val="18"/>
    </w:rPr>
  </w:style>
  <w:style w:type="paragraph" w:styleId="a5">
    <w:name w:val="List Paragraph"/>
    <w:basedOn w:val="a"/>
    <w:uiPriority w:val="34"/>
    <w:qFormat/>
    <w:rsid w:val="00D61E64"/>
    <w:pPr>
      <w:widowControl/>
      <w:ind w:firstLineChars="200" w:firstLine="420"/>
      <w:jc w:val="left"/>
    </w:pPr>
    <w:rPr>
      <w:rFonts w:ascii="宋体" w:hAnsi="宋体" w:cs="宋体"/>
      <w:kern w:val="0"/>
      <w:sz w:val="24"/>
    </w:rPr>
  </w:style>
  <w:style w:type="paragraph" w:customStyle="1" w:styleId="TextTi12">
    <w:name w:val="Text:Ti12"/>
    <w:basedOn w:val="a"/>
    <w:link w:val="TextTi12Char"/>
    <w:rsid w:val="00D61E64"/>
    <w:pPr>
      <w:widowControl/>
      <w:spacing w:after="170" w:line="280" w:lineRule="atLeast"/>
    </w:pPr>
    <w:rPr>
      <w:kern w:val="0"/>
      <w:sz w:val="24"/>
      <w:lang w:eastAsia="de-DE"/>
    </w:rPr>
  </w:style>
  <w:style w:type="paragraph" w:customStyle="1" w:styleId="TextTi10">
    <w:name w:val="Text:Ti10"/>
    <w:basedOn w:val="a"/>
    <w:rsid w:val="00D61E64"/>
    <w:pPr>
      <w:widowControl/>
      <w:jc w:val="left"/>
    </w:pPr>
    <w:rPr>
      <w:rFonts w:eastAsia="Times New Roman"/>
      <w:kern w:val="0"/>
      <w:sz w:val="20"/>
      <w:szCs w:val="20"/>
      <w:lang w:eastAsia="ja-JP"/>
    </w:rPr>
  </w:style>
  <w:style w:type="paragraph" w:customStyle="1" w:styleId="TextTi9">
    <w:name w:val="Text:Ti9"/>
    <w:basedOn w:val="a"/>
    <w:rsid w:val="00D61E64"/>
    <w:pPr>
      <w:widowControl/>
      <w:jc w:val="left"/>
    </w:pPr>
    <w:rPr>
      <w:rFonts w:eastAsia="Times New Roman"/>
      <w:kern w:val="0"/>
      <w:sz w:val="18"/>
      <w:szCs w:val="20"/>
      <w:lang w:eastAsia="ja-JP"/>
    </w:rPr>
  </w:style>
  <w:style w:type="character" w:customStyle="1" w:styleId="TextTi12Char">
    <w:name w:val="Text:Ti12 Char"/>
    <w:link w:val="TextTi12"/>
    <w:rsid w:val="00D61E64"/>
    <w:rPr>
      <w:rFonts w:ascii="Times New Roman" w:eastAsia="宋体" w:hAnsi="Times New Roman" w:cs="Times New Roman"/>
      <w:kern w:val="0"/>
      <w:sz w:val="24"/>
      <w:szCs w:val="24"/>
      <w:lang w:eastAsia="de-DE"/>
    </w:rPr>
  </w:style>
  <w:style w:type="character" w:styleId="a6">
    <w:name w:val="Hyperlink"/>
    <w:rsid w:val="00D61E64"/>
    <w:rPr>
      <w:color w:val="0000FF"/>
      <w:u w:val="single"/>
    </w:rPr>
  </w:style>
  <w:style w:type="paragraph" w:styleId="a7">
    <w:name w:val="Balloon Text"/>
    <w:basedOn w:val="a"/>
    <w:link w:val="Char1"/>
    <w:uiPriority w:val="99"/>
    <w:semiHidden/>
    <w:unhideWhenUsed/>
    <w:rsid w:val="00D61E64"/>
    <w:rPr>
      <w:sz w:val="18"/>
      <w:szCs w:val="18"/>
    </w:rPr>
  </w:style>
  <w:style w:type="character" w:customStyle="1" w:styleId="Char1">
    <w:name w:val="批注框文本 Char"/>
    <w:basedOn w:val="a0"/>
    <w:link w:val="a7"/>
    <w:uiPriority w:val="99"/>
    <w:semiHidden/>
    <w:rsid w:val="00D61E6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1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1E64"/>
    <w:rPr>
      <w:sz w:val="18"/>
      <w:szCs w:val="18"/>
    </w:rPr>
  </w:style>
  <w:style w:type="paragraph" w:styleId="a4">
    <w:name w:val="footer"/>
    <w:basedOn w:val="a"/>
    <w:link w:val="Char0"/>
    <w:uiPriority w:val="99"/>
    <w:unhideWhenUsed/>
    <w:rsid w:val="00D61E64"/>
    <w:pPr>
      <w:tabs>
        <w:tab w:val="center" w:pos="4153"/>
        <w:tab w:val="right" w:pos="8306"/>
      </w:tabs>
      <w:snapToGrid w:val="0"/>
      <w:jc w:val="left"/>
    </w:pPr>
    <w:rPr>
      <w:sz w:val="18"/>
      <w:szCs w:val="18"/>
    </w:rPr>
  </w:style>
  <w:style w:type="character" w:customStyle="1" w:styleId="Char0">
    <w:name w:val="页脚 Char"/>
    <w:basedOn w:val="a0"/>
    <w:link w:val="a4"/>
    <w:uiPriority w:val="99"/>
    <w:rsid w:val="00D61E64"/>
    <w:rPr>
      <w:sz w:val="18"/>
      <w:szCs w:val="18"/>
    </w:rPr>
  </w:style>
  <w:style w:type="paragraph" w:styleId="a5">
    <w:name w:val="List Paragraph"/>
    <w:basedOn w:val="a"/>
    <w:uiPriority w:val="34"/>
    <w:qFormat/>
    <w:rsid w:val="00D61E64"/>
    <w:pPr>
      <w:widowControl/>
      <w:ind w:firstLineChars="200" w:firstLine="420"/>
      <w:jc w:val="left"/>
    </w:pPr>
    <w:rPr>
      <w:rFonts w:ascii="宋体" w:hAnsi="宋体" w:cs="宋体"/>
      <w:kern w:val="0"/>
      <w:sz w:val="24"/>
    </w:rPr>
  </w:style>
  <w:style w:type="paragraph" w:customStyle="1" w:styleId="TextTi12">
    <w:name w:val="Text:Ti12"/>
    <w:basedOn w:val="a"/>
    <w:link w:val="TextTi12Char"/>
    <w:rsid w:val="00D61E64"/>
    <w:pPr>
      <w:widowControl/>
      <w:spacing w:after="170" w:line="280" w:lineRule="atLeast"/>
    </w:pPr>
    <w:rPr>
      <w:kern w:val="0"/>
      <w:sz w:val="24"/>
      <w:lang w:val="x-none" w:eastAsia="de-DE"/>
    </w:rPr>
  </w:style>
  <w:style w:type="paragraph" w:customStyle="1" w:styleId="TextTi10">
    <w:name w:val="Text:Ti10"/>
    <w:basedOn w:val="a"/>
    <w:rsid w:val="00D61E64"/>
    <w:pPr>
      <w:widowControl/>
      <w:jc w:val="left"/>
    </w:pPr>
    <w:rPr>
      <w:rFonts w:eastAsia="Times New Roman"/>
      <w:kern w:val="0"/>
      <w:sz w:val="20"/>
      <w:szCs w:val="20"/>
      <w:lang w:eastAsia="ja-JP"/>
    </w:rPr>
  </w:style>
  <w:style w:type="paragraph" w:customStyle="1" w:styleId="TextTi9">
    <w:name w:val="Text:Ti9"/>
    <w:basedOn w:val="a"/>
    <w:rsid w:val="00D61E64"/>
    <w:pPr>
      <w:widowControl/>
      <w:jc w:val="left"/>
    </w:pPr>
    <w:rPr>
      <w:rFonts w:eastAsia="Times New Roman"/>
      <w:kern w:val="0"/>
      <w:sz w:val="18"/>
      <w:szCs w:val="20"/>
      <w:lang w:eastAsia="ja-JP"/>
    </w:rPr>
  </w:style>
  <w:style w:type="character" w:customStyle="1" w:styleId="TextTi12Char">
    <w:name w:val="Text:Ti12 Char"/>
    <w:link w:val="TextTi12"/>
    <w:rsid w:val="00D61E64"/>
    <w:rPr>
      <w:rFonts w:ascii="Times New Roman" w:eastAsia="宋体" w:hAnsi="Times New Roman" w:cs="Times New Roman"/>
      <w:kern w:val="0"/>
      <w:sz w:val="24"/>
      <w:szCs w:val="24"/>
      <w:lang w:val="x-none" w:eastAsia="de-DE"/>
    </w:rPr>
  </w:style>
  <w:style w:type="character" w:styleId="a6">
    <w:name w:val="Hyperlink"/>
    <w:rsid w:val="00D61E64"/>
    <w:rPr>
      <w:color w:val="0000FF"/>
      <w:u w:val="single"/>
    </w:rPr>
  </w:style>
  <w:style w:type="paragraph" w:styleId="a7">
    <w:name w:val="Balloon Text"/>
    <w:basedOn w:val="a"/>
    <w:link w:val="Char1"/>
    <w:uiPriority w:val="99"/>
    <w:semiHidden/>
    <w:unhideWhenUsed/>
    <w:rsid w:val="00D61E64"/>
    <w:rPr>
      <w:sz w:val="18"/>
      <w:szCs w:val="18"/>
    </w:rPr>
  </w:style>
  <w:style w:type="character" w:customStyle="1" w:styleId="Char1">
    <w:name w:val="批注框文本 Char"/>
    <w:basedOn w:val="a0"/>
    <w:link w:val="a7"/>
    <w:uiPriority w:val="99"/>
    <w:semiHidden/>
    <w:rsid w:val="00D61E6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200</Words>
  <Characters>1142</Characters>
  <Application>Microsoft Office Word</Application>
  <DocSecurity>0</DocSecurity>
  <Lines>9</Lines>
  <Paragraphs>2</Paragraphs>
  <ScaleCrop>false</ScaleCrop>
  <Company>CFDA</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2</cp:revision>
  <dcterms:created xsi:type="dcterms:W3CDTF">2017-03-28T08:46:00Z</dcterms:created>
  <dcterms:modified xsi:type="dcterms:W3CDTF">2017-03-28T08:46:00Z</dcterms:modified>
</cp:coreProperties>
</file>