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E1E" w:rsidRDefault="008E1E1E" w:rsidP="008E1E1E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8E1E1E" w:rsidRDefault="008E1E1E" w:rsidP="008E1E1E">
      <w:pPr>
        <w:rPr>
          <w:rFonts w:ascii="仿宋" w:eastAsia="仿宋" w:hAnsi="仿宋"/>
          <w:sz w:val="28"/>
          <w:szCs w:val="28"/>
        </w:rPr>
      </w:pPr>
    </w:p>
    <w:p w:rsidR="008E1E1E" w:rsidRDefault="008E1E1E" w:rsidP="008E1E1E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脑络通胶囊说明书修订要求</w:t>
      </w:r>
    </w:p>
    <w:p w:rsidR="008E1E1E" w:rsidRDefault="008E1E1E" w:rsidP="008E1E1E">
      <w:pPr>
        <w:spacing w:line="400" w:lineRule="exact"/>
        <w:rPr>
          <w:rFonts w:ascii="宋体" w:hAnsi="宋体"/>
          <w:szCs w:val="21"/>
        </w:rPr>
      </w:pPr>
    </w:p>
    <w:p w:rsidR="008E1E1E" w:rsidRDefault="008E1E1E" w:rsidP="008E1E1E">
      <w:pPr>
        <w:rPr>
          <w:rFonts w:ascii="宋体" w:hAnsi="宋体"/>
          <w:szCs w:val="21"/>
        </w:rPr>
      </w:pPr>
    </w:p>
    <w:p w:rsidR="008E1E1E" w:rsidRDefault="008E1E1E" w:rsidP="008E1E1E">
      <w:pPr>
        <w:pStyle w:val="a5"/>
        <w:spacing w:line="600" w:lineRule="exact"/>
        <w:ind w:left="640"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一、警示语应包括：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本品为中西药复方制剂，</w:t>
      </w:r>
      <w:r w:rsidRPr="00521CFB">
        <w:rPr>
          <w:rFonts w:eastAsia="仿宋_GB2312" w:hint="eastAsia"/>
          <w:sz w:val="32"/>
          <w:szCs w:val="32"/>
        </w:rPr>
        <w:t>含</w:t>
      </w:r>
      <w:r>
        <w:rPr>
          <w:rFonts w:eastAsia="仿宋_GB2312" w:hint="eastAsia"/>
          <w:sz w:val="32"/>
          <w:szCs w:val="32"/>
        </w:rPr>
        <w:t>盐酸托</w:t>
      </w:r>
      <w:proofErr w:type="gramStart"/>
      <w:r>
        <w:rPr>
          <w:rFonts w:eastAsia="仿宋_GB2312" w:hint="eastAsia"/>
          <w:sz w:val="32"/>
          <w:szCs w:val="32"/>
        </w:rPr>
        <w:t>哌</w:t>
      </w:r>
      <w:proofErr w:type="gramEnd"/>
      <w:r>
        <w:rPr>
          <w:rFonts w:eastAsia="仿宋_GB2312" w:hint="eastAsia"/>
          <w:sz w:val="32"/>
          <w:szCs w:val="32"/>
        </w:rPr>
        <w:t>酮，</w:t>
      </w:r>
      <w:r w:rsidRPr="00521CFB">
        <w:rPr>
          <w:rFonts w:eastAsia="仿宋_GB2312" w:hint="eastAsia"/>
          <w:sz w:val="32"/>
          <w:szCs w:val="32"/>
        </w:rPr>
        <w:t>使用时应警惕严重过敏反应风险，请仔细阅读说明书并在医师指导下使用。重症肌无力患者、孕妇、对本品及其组</w:t>
      </w:r>
      <w:r>
        <w:rPr>
          <w:rFonts w:eastAsia="仿宋_GB2312" w:hint="eastAsia"/>
          <w:sz w:val="32"/>
          <w:szCs w:val="32"/>
        </w:rPr>
        <w:t>份</w:t>
      </w:r>
      <w:r w:rsidRPr="00521CFB">
        <w:rPr>
          <w:rFonts w:eastAsia="仿宋_GB2312" w:hint="eastAsia"/>
          <w:sz w:val="32"/>
          <w:szCs w:val="32"/>
        </w:rPr>
        <w:t>过敏者禁用</w:t>
      </w:r>
      <w:r>
        <w:rPr>
          <w:rFonts w:eastAsia="仿宋_GB2312" w:hint="eastAsia"/>
          <w:sz w:val="32"/>
          <w:szCs w:val="32"/>
        </w:rPr>
        <w:t>。</w:t>
      </w:r>
    </w:p>
    <w:p w:rsidR="008E1E1E" w:rsidRDefault="008E1E1E" w:rsidP="008E1E1E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二、【不良反应】项应当包括：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.</w:t>
      </w:r>
      <w:r>
        <w:rPr>
          <w:rFonts w:eastAsia="仿宋_GB2312" w:hint="eastAsia"/>
          <w:sz w:val="32"/>
          <w:szCs w:val="32"/>
        </w:rPr>
        <w:t>过敏反应：皮肤潮红、瘙痒、风团样皮疹、喘息、呼吸困难、喉头水肿、吞咽困难、恶心、呕吐、腹痛、心率加快、血压下降等。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.</w:t>
      </w:r>
      <w:r>
        <w:rPr>
          <w:rFonts w:eastAsia="仿宋_GB2312" w:hint="eastAsia"/>
          <w:sz w:val="32"/>
          <w:szCs w:val="32"/>
        </w:rPr>
        <w:t>皮肤：皮疹、瘙痒、多汗、血管神经性水肿。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.</w:t>
      </w:r>
      <w:r>
        <w:rPr>
          <w:rFonts w:eastAsia="仿宋_GB2312" w:hint="eastAsia"/>
          <w:sz w:val="32"/>
          <w:szCs w:val="32"/>
        </w:rPr>
        <w:t>消化系统：恶心、呕吐、腹痛、腹泻、腹胀、食欲不振、口干、便秘、肝生化指标异常。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神经精神系统：头晕、头痛、嗜睡。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全身性反应：乏力、发热。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</w:t>
      </w:r>
      <w:r>
        <w:rPr>
          <w:rFonts w:eastAsia="仿宋_GB2312" w:hint="eastAsia"/>
          <w:sz w:val="32"/>
          <w:szCs w:val="32"/>
        </w:rPr>
        <w:t>心血管系统：潮红、心悸、血压下降。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7.</w:t>
      </w:r>
      <w:r>
        <w:rPr>
          <w:rFonts w:eastAsia="仿宋_GB2312" w:hint="eastAsia"/>
          <w:sz w:val="32"/>
          <w:szCs w:val="32"/>
        </w:rPr>
        <w:t>呼吸系统：胸闷、呼吸困难，严重可致呼吸衰竭。</w:t>
      </w:r>
    </w:p>
    <w:p w:rsidR="008E1E1E" w:rsidRPr="009B5C24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8.</w:t>
      </w:r>
      <w:r>
        <w:rPr>
          <w:rFonts w:eastAsia="仿宋_GB2312" w:hint="eastAsia"/>
          <w:sz w:val="32"/>
          <w:szCs w:val="32"/>
        </w:rPr>
        <w:t>其他：肌肉疼痛、月经过多，</w:t>
      </w:r>
      <w:r w:rsidRPr="009603D1">
        <w:rPr>
          <w:rFonts w:eastAsia="仿宋_GB2312" w:hint="eastAsia"/>
          <w:sz w:val="32"/>
          <w:szCs w:val="32"/>
        </w:rPr>
        <w:t>有</w:t>
      </w:r>
      <w:r>
        <w:rPr>
          <w:rFonts w:eastAsia="仿宋_GB2312" w:hint="eastAsia"/>
          <w:sz w:val="32"/>
          <w:szCs w:val="32"/>
        </w:rPr>
        <w:t>男性乳房肿大的个案报告。</w:t>
      </w:r>
    </w:p>
    <w:p w:rsidR="008E1E1E" w:rsidRPr="00D7575C" w:rsidRDefault="008E1E1E" w:rsidP="008E1E1E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D7575C">
        <w:rPr>
          <w:rFonts w:ascii="黑体" w:eastAsia="黑体" w:hAnsi="黑体"/>
          <w:sz w:val="32"/>
          <w:szCs w:val="32"/>
        </w:rPr>
        <w:t>三、【禁忌】项应当包括：</w:t>
      </w:r>
    </w:p>
    <w:p w:rsidR="008E1E1E" w:rsidRPr="00D7575C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7575C">
        <w:rPr>
          <w:rFonts w:eastAsia="仿宋_GB2312"/>
          <w:sz w:val="32"/>
          <w:szCs w:val="32"/>
        </w:rPr>
        <w:t>1.</w:t>
      </w:r>
      <w:r w:rsidRPr="00D7575C">
        <w:rPr>
          <w:rFonts w:eastAsia="仿宋_GB2312"/>
          <w:sz w:val="32"/>
          <w:szCs w:val="32"/>
        </w:rPr>
        <w:t>对本品</w:t>
      </w:r>
      <w:proofErr w:type="gramStart"/>
      <w:r>
        <w:rPr>
          <w:rFonts w:eastAsia="仿宋_GB2312" w:hint="eastAsia"/>
          <w:sz w:val="32"/>
          <w:szCs w:val="32"/>
        </w:rPr>
        <w:t>及其组</w:t>
      </w:r>
      <w:proofErr w:type="gramEnd"/>
      <w:r>
        <w:rPr>
          <w:rFonts w:eastAsia="仿宋_GB2312" w:hint="eastAsia"/>
          <w:sz w:val="32"/>
          <w:szCs w:val="32"/>
        </w:rPr>
        <w:t>方成份过敏者</w:t>
      </w:r>
      <w:r w:rsidRPr="00D7575C">
        <w:rPr>
          <w:rFonts w:eastAsia="仿宋_GB2312"/>
          <w:sz w:val="32"/>
          <w:szCs w:val="32"/>
        </w:rPr>
        <w:t>禁用。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7575C">
        <w:rPr>
          <w:rFonts w:eastAsia="仿宋_GB2312"/>
          <w:sz w:val="32"/>
          <w:szCs w:val="32"/>
        </w:rPr>
        <w:lastRenderedPageBreak/>
        <w:t>2.</w:t>
      </w:r>
      <w:r>
        <w:rPr>
          <w:rFonts w:eastAsia="仿宋_GB2312" w:hint="eastAsia"/>
          <w:sz w:val="32"/>
          <w:szCs w:val="32"/>
        </w:rPr>
        <w:t>重症肌无力患者</w:t>
      </w:r>
      <w:r w:rsidRPr="00D7575C">
        <w:rPr>
          <w:rFonts w:eastAsia="仿宋_GB2312"/>
          <w:sz w:val="32"/>
          <w:szCs w:val="32"/>
        </w:rPr>
        <w:t>禁用。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孕妇禁用。</w:t>
      </w:r>
    </w:p>
    <w:p w:rsidR="008E1E1E" w:rsidRPr="00D7575C" w:rsidRDefault="008E1E1E" w:rsidP="008E1E1E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D7575C">
        <w:rPr>
          <w:rFonts w:ascii="黑体" w:eastAsia="黑体" w:hAnsi="黑体"/>
          <w:sz w:val="32"/>
          <w:szCs w:val="32"/>
        </w:rPr>
        <w:t>四、【注意事项】项应当包括：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D7575C">
        <w:rPr>
          <w:rFonts w:eastAsia="仿宋_GB2312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本品含盐酸托</w:t>
      </w:r>
      <w:proofErr w:type="gramStart"/>
      <w:r>
        <w:rPr>
          <w:rFonts w:eastAsia="仿宋_GB2312" w:hint="eastAsia"/>
          <w:sz w:val="32"/>
          <w:szCs w:val="32"/>
        </w:rPr>
        <w:t>哌</w:t>
      </w:r>
      <w:proofErr w:type="gramEnd"/>
      <w:r>
        <w:rPr>
          <w:rFonts w:eastAsia="仿宋_GB2312" w:hint="eastAsia"/>
          <w:sz w:val="32"/>
          <w:szCs w:val="32"/>
        </w:rPr>
        <w:t>酮，应避免与含盐酸托</w:t>
      </w:r>
      <w:proofErr w:type="gramStart"/>
      <w:r>
        <w:rPr>
          <w:rFonts w:eastAsia="仿宋_GB2312" w:hint="eastAsia"/>
          <w:sz w:val="32"/>
          <w:szCs w:val="32"/>
        </w:rPr>
        <w:t>哌</w:t>
      </w:r>
      <w:proofErr w:type="gramEnd"/>
      <w:r>
        <w:rPr>
          <w:rFonts w:eastAsia="仿宋_GB2312" w:hint="eastAsia"/>
          <w:sz w:val="32"/>
          <w:szCs w:val="32"/>
        </w:rPr>
        <w:t>酮的药品合并使用，或</w:t>
      </w:r>
      <w:proofErr w:type="gramStart"/>
      <w:r>
        <w:rPr>
          <w:rFonts w:eastAsia="仿宋_GB2312" w:hint="eastAsia"/>
          <w:sz w:val="32"/>
          <w:szCs w:val="32"/>
        </w:rPr>
        <w:t>遵</w:t>
      </w:r>
      <w:proofErr w:type="gramEnd"/>
      <w:r>
        <w:rPr>
          <w:rFonts w:eastAsia="仿宋_GB2312" w:hint="eastAsia"/>
          <w:sz w:val="32"/>
          <w:szCs w:val="32"/>
        </w:rPr>
        <w:t>医嘱。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哺乳期妇女不宜使用，或</w:t>
      </w:r>
      <w:proofErr w:type="gramStart"/>
      <w:r>
        <w:rPr>
          <w:rFonts w:eastAsia="仿宋_GB2312" w:hint="eastAsia"/>
          <w:sz w:val="32"/>
          <w:szCs w:val="32"/>
        </w:rPr>
        <w:t>遵</w:t>
      </w:r>
      <w:proofErr w:type="gramEnd"/>
      <w:r>
        <w:rPr>
          <w:rFonts w:eastAsia="仿宋_GB2312" w:hint="eastAsia"/>
          <w:sz w:val="32"/>
          <w:szCs w:val="32"/>
        </w:rPr>
        <w:t>医嘱</w:t>
      </w:r>
      <w:r w:rsidRPr="00D7575C">
        <w:rPr>
          <w:rFonts w:eastAsia="仿宋_GB2312"/>
          <w:sz w:val="32"/>
          <w:szCs w:val="32"/>
        </w:rPr>
        <w:t>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老年患者需个体化用药。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肝功能异常患者慎用。用药期间应监测肝功能，如有异常，应立即停药并就诊。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本品每粒含维生素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 xml:space="preserve"> 2mg</w:t>
      </w:r>
      <w:r>
        <w:rPr>
          <w:rFonts w:eastAsia="仿宋_GB2312" w:hint="eastAsia"/>
          <w:sz w:val="32"/>
          <w:szCs w:val="32"/>
        </w:rPr>
        <w:t>，与其他含维生素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的保健食品、药品合用时，应警惕维生素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长期、过量使用带来的不良反应风险。维生素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在肾功能正常时几乎不产生毒性，但长期、过量使用维生素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时可导致严重不良反应。曾有报道若每天服用</w:t>
      </w:r>
      <w:r>
        <w:rPr>
          <w:rFonts w:eastAsia="仿宋_GB2312" w:hint="eastAsia"/>
          <w:sz w:val="32"/>
          <w:szCs w:val="32"/>
        </w:rPr>
        <w:t>200mg</w:t>
      </w:r>
      <w:r>
        <w:rPr>
          <w:rFonts w:eastAsia="仿宋_GB2312" w:hint="eastAsia"/>
          <w:sz w:val="32"/>
          <w:szCs w:val="32"/>
        </w:rPr>
        <w:t>，持续</w:t>
      </w:r>
      <w:r>
        <w:rPr>
          <w:rFonts w:eastAsia="仿宋_GB2312" w:hint="eastAsia"/>
          <w:sz w:val="32"/>
          <w:szCs w:val="32"/>
        </w:rPr>
        <w:t>30</w:t>
      </w:r>
      <w:r>
        <w:rPr>
          <w:rFonts w:eastAsia="仿宋_GB2312" w:hint="eastAsia"/>
          <w:sz w:val="32"/>
          <w:szCs w:val="32"/>
        </w:rPr>
        <w:t>天以上，可产生维生素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依赖综合征；每日应用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～</w:t>
      </w:r>
      <w:r>
        <w:rPr>
          <w:rFonts w:eastAsia="仿宋_GB2312" w:hint="eastAsia"/>
          <w:sz w:val="32"/>
          <w:szCs w:val="32"/>
        </w:rPr>
        <w:t>6g</w:t>
      </w:r>
      <w:r>
        <w:rPr>
          <w:rFonts w:eastAsia="仿宋_GB2312" w:hint="eastAsia"/>
          <w:sz w:val="32"/>
          <w:szCs w:val="32"/>
        </w:rPr>
        <w:t>，持续几个月，可引起严重神经感觉异常，进行性步态不稳至足麻木、手不灵活，停药后可缓解，但仍软弱无力。维生素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也可使寻常痤疮恶化或使痤疮性皮疹糜烂。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6.</w:t>
      </w:r>
      <w:r>
        <w:rPr>
          <w:rFonts w:eastAsia="仿宋_GB2312" w:hint="eastAsia"/>
          <w:sz w:val="32"/>
          <w:szCs w:val="32"/>
        </w:rPr>
        <w:t>本品含盐酸托</w:t>
      </w:r>
      <w:proofErr w:type="gramStart"/>
      <w:r>
        <w:rPr>
          <w:rFonts w:eastAsia="仿宋_GB2312" w:hint="eastAsia"/>
          <w:sz w:val="32"/>
          <w:szCs w:val="32"/>
        </w:rPr>
        <w:t>哌</w:t>
      </w:r>
      <w:proofErr w:type="gramEnd"/>
      <w:r>
        <w:rPr>
          <w:rFonts w:eastAsia="仿宋_GB2312" w:hint="eastAsia"/>
          <w:sz w:val="32"/>
          <w:szCs w:val="32"/>
        </w:rPr>
        <w:t>酮，应注意盐酸托</w:t>
      </w:r>
      <w:proofErr w:type="gramStart"/>
      <w:r>
        <w:rPr>
          <w:rFonts w:eastAsia="仿宋_GB2312" w:hint="eastAsia"/>
          <w:sz w:val="32"/>
          <w:szCs w:val="32"/>
        </w:rPr>
        <w:t>哌</w:t>
      </w:r>
      <w:proofErr w:type="gramEnd"/>
      <w:r>
        <w:rPr>
          <w:rFonts w:eastAsia="仿宋_GB2312" w:hint="eastAsia"/>
          <w:sz w:val="32"/>
          <w:szCs w:val="32"/>
        </w:rPr>
        <w:t>酮与其他药物的相互作用：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）与其他中枢性肌肉松弛剂合并使用时，应注意调整用量。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）合用时增加非</w:t>
      </w:r>
      <w:proofErr w:type="gramStart"/>
      <w:r>
        <w:rPr>
          <w:rFonts w:eastAsia="仿宋_GB2312" w:hint="eastAsia"/>
          <w:sz w:val="32"/>
          <w:szCs w:val="32"/>
        </w:rPr>
        <w:t>甾</w:t>
      </w:r>
      <w:proofErr w:type="gramEnd"/>
      <w:r>
        <w:rPr>
          <w:rFonts w:eastAsia="仿宋_GB2312" w:hint="eastAsia"/>
          <w:sz w:val="32"/>
          <w:szCs w:val="32"/>
        </w:rPr>
        <w:t>体抗炎药（</w:t>
      </w:r>
      <w:r>
        <w:rPr>
          <w:rFonts w:eastAsia="仿宋_GB2312" w:hint="eastAsia"/>
          <w:sz w:val="32"/>
          <w:szCs w:val="32"/>
        </w:rPr>
        <w:t>NSAIDs</w:t>
      </w:r>
      <w:r>
        <w:rPr>
          <w:rFonts w:eastAsia="仿宋_GB2312" w:hint="eastAsia"/>
          <w:sz w:val="32"/>
          <w:szCs w:val="32"/>
        </w:rPr>
        <w:t>）的作用效果，同</w:t>
      </w:r>
      <w:r>
        <w:rPr>
          <w:rFonts w:eastAsia="仿宋_GB2312" w:hint="eastAsia"/>
          <w:sz w:val="32"/>
          <w:szCs w:val="32"/>
        </w:rPr>
        <w:lastRenderedPageBreak/>
        <w:t>时使用时应酌情减少</w:t>
      </w:r>
      <w:r>
        <w:rPr>
          <w:rFonts w:eastAsia="仿宋_GB2312" w:hint="eastAsia"/>
          <w:sz w:val="32"/>
          <w:szCs w:val="32"/>
        </w:rPr>
        <w:t>NSAIDs</w:t>
      </w:r>
      <w:r>
        <w:rPr>
          <w:rFonts w:eastAsia="仿宋_GB2312" w:hint="eastAsia"/>
          <w:sz w:val="32"/>
          <w:szCs w:val="32"/>
        </w:rPr>
        <w:t>的用量。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）与肌肉松弛药</w:t>
      </w:r>
      <w:proofErr w:type="gramStart"/>
      <w:r>
        <w:rPr>
          <w:rFonts w:eastAsia="仿宋_GB2312" w:hint="eastAsia"/>
          <w:sz w:val="32"/>
          <w:szCs w:val="32"/>
        </w:rPr>
        <w:t>丹曲林钠</w:t>
      </w:r>
      <w:proofErr w:type="gramEnd"/>
      <w:r>
        <w:rPr>
          <w:rFonts w:eastAsia="仿宋_GB2312" w:hint="eastAsia"/>
          <w:sz w:val="32"/>
          <w:szCs w:val="32"/>
        </w:rPr>
        <w:t>同时使用可增加肌肉松弛作用。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）与氨基糖苷类抗生素（新霉素、卡那霉素、庆大霉素等）同时使用有时会出现呼吸抑制作用。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7.</w:t>
      </w:r>
      <w:r>
        <w:rPr>
          <w:rFonts w:eastAsia="仿宋_GB2312" w:hint="eastAsia"/>
          <w:sz w:val="32"/>
          <w:szCs w:val="32"/>
        </w:rPr>
        <w:t>本品含维生素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，应注意维生素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对诊断的干扰及与其他药物的相互作用：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(1) </w:t>
      </w:r>
      <w:r>
        <w:rPr>
          <w:rFonts w:eastAsia="仿宋_GB2312" w:hint="eastAsia"/>
          <w:sz w:val="32"/>
          <w:szCs w:val="32"/>
        </w:rPr>
        <w:t>尿胆</w:t>
      </w:r>
      <w:proofErr w:type="gramStart"/>
      <w:r>
        <w:rPr>
          <w:rFonts w:eastAsia="仿宋_GB2312" w:hint="eastAsia"/>
          <w:sz w:val="32"/>
          <w:szCs w:val="32"/>
        </w:rPr>
        <w:t>原试验</w:t>
      </w:r>
      <w:proofErr w:type="gramEnd"/>
      <w:r>
        <w:rPr>
          <w:rFonts w:eastAsia="仿宋_GB2312" w:hint="eastAsia"/>
          <w:sz w:val="32"/>
          <w:szCs w:val="32"/>
        </w:rPr>
        <w:t>呈假阳性。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(2) </w:t>
      </w:r>
      <w:r>
        <w:rPr>
          <w:rFonts w:eastAsia="仿宋_GB2312" w:hint="eastAsia"/>
          <w:sz w:val="32"/>
          <w:szCs w:val="32"/>
        </w:rPr>
        <w:t>小剂量维生素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（一日</w:t>
      </w:r>
      <w:r>
        <w:rPr>
          <w:rFonts w:eastAsia="仿宋_GB2312" w:hint="eastAsia"/>
          <w:sz w:val="32"/>
          <w:szCs w:val="32"/>
        </w:rPr>
        <w:t>5mg</w:t>
      </w:r>
      <w:r>
        <w:rPr>
          <w:rFonts w:eastAsia="仿宋_GB2312" w:hint="eastAsia"/>
          <w:sz w:val="32"/>
          <w:szCs w:val="32"/>
        </w:rPr>
        <w:t>）与左旋多巴合用，可降低后者治疗帕金森病的疗效。</w:t>
      </w:r>
    </w:p>
    <w:p w:rsidR="008E1E1E" w:rsidRDefault="008E1E1E" w:rsidP="008E1E1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(3) </w:t>
      </w:r>
      <w:r>
        <w:rPr>
          <w:rFonts w:eastAsia="仿宋_GB2312" w:hint="eastAsia"/>
          <w:sz w:val="32"/>
          <w:szCs w:val="32"/>
        </w:rPr>
        <w:t>氯霉素、环丝氨酸、乙硫异烟胺、盐酸</w:t>
      </w:r>
      <w:proofErr w:type="gramStart"/>
      <w:r>
        <w:rPr>
          <w:rFonts w:eastAsia="仿宋_GB2312" w:hint="eastAsia"/>
          <w:sz w:val="32"/>
          <w:szCs w:val="32"/>
        </w:rPr>
        <w:t>肼酞嗪</w:t>
      </w:r>
      <w:proofErr w:type="gramEnd"/>
      <w:r>
        <w:rPr>
          <w:rFonts w:eastAsia="仿宋_GB2312" w:hint="eastAsia"/>
          <w:sz w:val="32"/>
          <w:szCs w:val="32"/>
        </w:rPr>
        <w:t>、免疫抑制剂包括肾上腺皮质激素、环磷酰胺、环</w:t>
      </w:r>
      <w:proofErr w:type="gramStart"/>
      <w:r>
        <w:rPr>
          <w:rFonts w:eastAsia="仿宋_GB2312" w:hint="eastAsia"/>
          <w:sz w:val="32"/>
          <w:szCs w:val="32"/>
        </w:rPr>
        <w:t>孢</w:t>
      </w:r>
      <w:proofErr w:type="gramEnd"/>
      <w:r>
        <w:rPr>
          <w:rFonts w:eastAsia="仿宋_GB2312" w:hint="eastAsia"/>
          <w:sz w:val="32"/>
          <w:szCs w:val="32"/>
        </w:rPr>
        <w:t>素、异烟肼、青霉胺等药物可拮抗维生素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或增加维生素</w:t>
      </w:r>
      <w:r>
        <w:rPr>
          <w:rFonts w:eastAsia="仿宋_GB2312" w:hint="eastAsia"/>
          <w:sz w:val="32"/>
          <w:szCs w:val="32"/>
        </w:rPr>
        <w:t>B</w:t>
      </w:r>
      <w:r w:rsidRPr="00521CFB">
        <w:rPr>
          <w:rFonts w:eastAsia="仿宋_GB2312" w:hint="eastAsia"/>
          <w:sz w:val="32"/>
          <w:szCs w:val="32"/>
          <w:vertAlign w:val="subscript"/>
        </w:rPr>
        <w:t>6</w:t>
      </w:r>
      <w:r>
        <w:rPr>
          <w:rFonts w:eastAsia="仿宋_GB2312" w:hint="eastAsia"/>
          <w:sz w:val="32"/>
          <w:szCs w:val="32"/>
        </w:rPr>
        <w:t>经肾排泄，可引起贫血或周围神经炎。</w:t>
      </w:r>
    </w:p>
    <w:p w:rsidR="00B3609F" w:rsidRPr="008E1E1E" w:rsidRDefault="008E1E1E" w:rsidP="00EE5A06">
      <w:pPr>
        <w:spacing w:line="600" w:lineRule="exact"/>
        <w:ind w:firstLineChars="200" w:firstLine="640"/>
        <w:rPr>
          <w:rFonts w:ascii="仿宋" w:eastAsia="仿宋" w:hAnsi="仿宋"/>
          <w:sz w:val="28"/>
          <w:szCs w:val="28"/>
        </w:rPr>
      </w:pPr>
      <w:r>
        <w:rPr>
          <w:rFonts w:eastAsia="仿宋_GB2312" w:hint="eastAsia"/>
          <w:sz w:val="32"/>
          <w:szCs w:val="32"/>
        </w:rPr>
        <w:t>8.</w:t>
      </w:r>
      <w:r>
        <w:rPr>
          <w:rFonts w:eastAsia="仿宋_GB2312" w:hint="eastAsia"/>
          <w:sz w:val="32"/>
          <w:szCs w:val="32"/>
        </w:rPr>
        <w:t>本品含丹参，不宜</w:t>
      </w:r>
      <w:bookmarkStart w:id="0" w:name="_GoBack"/>
      <w:bookmarkEnd w:id="0"/>
      <w:r>
        <w:rPr>
          <w:rFonts w:eastAsia="仿宋_GB2312" w:hint="eastAsia"/>
          <w:sz w:val="32"/>
          <w:szCs w:val="32"/>
        </w:rPr>
        <w:t>与藜芦通用。</w:t>
      </w:r>
    </w:p>
    <w:sectPr w:rsidR="00B3609F" w:rsidRPr="008E1E1E" w:rsidSect="00EC34DB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D59" w:rsidRDefault="00072D59" w:rsidP="008E1E1E">
      <w:r>
        <w:separator/>
      </w:r>
    </w:p>
  </w:endnote>
  <w:endnote w:type="continuationSeparator" w:id="0">
    <w:p w:rsidR="00072D59" w:rsidRDefault="00072D59" w:rsidP="008E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F37" w:rsidRPr="00EC34DB" w:rsidRDefault="00E70ABB" w:rsidP="00EC34DB">
    <w:pPr>
      <w:pStyle w:val="a4"/>
      <w:ind w:firstLineChars="100" w:firstLine="280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EC34DB">
      <w:rPr>
        <w:sz w:val="28"/>
        <w:szCs w:val="28"/>
      </w:rPr>
      <w:fldChar w:fldCharType="begin"/>
    </w:r>
    <w:r w:rsidRPr="00EC34DB">
      <w:rPr>
        <w:sz w:val="28"/>
        <w:szCs w:val="28"/>
      </w:rPr>
      <w:instrText>PAGE   \* MERGEFORMAT</w:instrText>
    </w:r>
    <w:r w:rsidRPr="00EC34DB">
      <w:rPr>
        <w:sz w:val="28"/>
        <w:szCs w:val="28"/>
      </w:rPr>
      <w:fldChar w:fldCharType="separate"/>
    </w:r>
    <w:r w:rsidRPr="00F77426">
      <w:rPr>
        <w:noProof/>
        <w:sz w:val="28"/>
        <w:szCs w:val="28"/>
        <w:lang w:val="zh-CN"/>
      </w:rPr>
      <w:t>6</w:t>
    </w:r>
    <w:r w:rsidRPr="00EC34DB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072D59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F37" w:rsidRPr="00EC34DB" w:rsidRDefault="00E70ABB" w:rsidP="00EC34DB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EC34DB">
      <w:rPr>
        <w:sz w:val="28"/>
        <w:szCs w:val="28"/>
      </w:rPr>
      <w:fldChar w:fldCharType="begin"/>
    </w:r>
    <w:r w:rsidRPr="00EC34DB">
      <w:rPr>
        <w:sz w:val="28"/>
        <w:szCs w:val="28"/>
      </w:rPr>
      <w:instrText>PAGE   \* MERGEFORMAT</w:instrText>
    </w:r>
    <w:r w:rsidRPr="00EC34DB">
      <w:rPr>
        <w:sz w:val="28"/>
        <w:szCs w:val="28"/>
      </w:rPr>
      <w:fldChar w:fldCharType="separate"/>
    </w:r>
    <w:r w:rsidR="00EE5A06" w:rsidRPr="00EE5A06">
      <w:rPr>
        <w:noProof/>
        <w:sz w:val="28"/>
        <w:szCs w:val="28"/>
        <w:lang w:val="zh-CN"/>
      </w:rPr>
      <w:t>1</w:t>
    </w:r>
    <w:r w:rsidRPr="00EC34DB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 </w:t>
    </w:r>
  </w:p>
  <w:p w:rsidR="009A1829" w:rsidRDefault="00072D59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D59" w:rsidRDefault="00072D59" w:rsidP="008E1E1E">
      <w:r>
        <w:separator/>
      </w:r>
    </w:p>
  </w:footnote>
  <w:footnote w:type="continuationSeparator" w:id="0">
    <w:p w:rsidR="00072D59" w:rsidRDefault="00072D59" w:rsidP="008E1E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CF9"/>
    <w:rsid w:val="00072D59"/>
    <w:rsid w:val="008E1E1E"/>
    <w:rsid w:val="00B3609F"/>
    <w:rsid w:val="00E70ABB"/>
    <w:rsid w:val="00EE5A06"/>
    <w:rsid w:val="00F8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E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1E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1E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1E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1E1E"/>
    <w:rPr>
      <w:sz w:val="18"/>
      <w:szCs w:val="18"/>
    </w:rPr>
  </w:style>
  <w:style w:type="paragraph" w:styleId="a5">
    <w:name w:val="List Paragraph"/>
    <w:basedOn w:val="a"/>
    <w:uiPriority w:val="34"/>
    <w:qFormat/>
    <w:rsid w:val="008E1E1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E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1E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1E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1E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1E1E"/>
    <w:rPr>
      <w:sz w:val="18"/>
      <w:szCs w:val="18"/>
    </w:rPr>
  </w:style>
  <w:style w:type="paragraph" w:styleId="a5">
    <w:name w:val="List Paragraph"/>
    <w:basedOn w:val="a"/>
    <w:uiPriority w:val="34"/>
    <w:qFormat/>
    <w:rsid w:val="008E1E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970</Characters>
  <Application>Microsoft Office Word</Application>
  <DocSecurity>0</DocSecurity>
  <Lines>8</Lines>
  <Paragraphs>2</Paragraphs>
  <ScaleCrop>false</ScaleCrop>
  <Company>CFDA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2015-06-29T05:27:00Z</dcterms:created>
  <dcterms:modified xsi:type="dcterms:W3CDTF">2015-06-29T05:29:00Z</dcterms:modified>
</cp:coreProperties>
</file>