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302" w:rsidRDefault="000A7302" w:rsidP="000A7302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0A7302" w:rsidRDefault="000A7302" w:rsidP="000A7302">
      <w:pPr>
        <w:rPr>
          <w:rFonts w:ascii="仿宋" w:eastAsia="仿宋" w:hAnsi="仿宋"/>
          <w:sz w:val="28"/>
          <w:szCs w:val="28"/>
        </w:rPr>
      </w:pPr>
    </w:p>
    <w:p w:rsidR="000A7302" w:rsidRDefault="000A7302" w:rsidP="000A7302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腰息痛胶囊说明书修订要求</w:t>
      </w:r>
    </w:p>
    <w:p w:rsidR="000A7302" w:rsidRDefault="000A7302" w:rsidP="000A7302">
      <w:pPr>
        <w:spacing w:line="400" w:lineRule="exact"/>
        <w:rPr>
          <w:rFonts w:ascii="宋体" w:hAnsi="宋体"/>
          <w:szCs w:val="21"/>
        </w:rPr>
      </w:pPr>
    </w:p>
    <w:p w:rsidR="000A7302" w:rsidRDefault="000A7302" w:rsidP="000A7302">
      <w:pPr>
        <w:rPr>
          <w:rFonts w:ascii="宋体" w:hAnsi="宋体"/>
          <w:szCs w:val="21"/>
        </w:rPr>
      </w:pPr>
    </w:p>
    <w:p w:rsidR="000A7302" w:rsidRDefault="000A7302" w:rsidP="000A7302">
      <w:pPr>
        <w:pStyle w:val="a5"/>
        <w:ind w:left="640" w:firstLineChars="0" w:firstLine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一、警示语应包括：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proofErr w:type="gramStart"/>
      <w:r>
        <w:rPr>
          <w:rFonts w:eastAsia="仿宋_GB2312" w:hint="eastAsia"/>
          <w:sz w:val="32"/>
          <w:szCs w:val="32"/>
        </w:rPr>
        <w:t>本品含制草乌</w:t>
      </w:r>
      <w:proofErr w:type="gramEnd"/>
      <w:r>
        <w:rPr>
          <w:rFonts w:eastAsia="仿宋_GB2312" w:hint="eastAsia"/>
          <w:sz w:val="32"/>
          <w:szCs w:val="32"/>
        </w:rPr>
        <w:t>、对乙酰氨基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。孕妇及哺乳期妇女禁用；乙醇中毒、肝病患者禁用；肝肾功能不全者禁用；严重心脏病、房室传导阻滞、高血压者忌用。</w:t>
      </w:r>
    </w:p>
    <w:p w:rsidR="000A7302" w:rsidRDefault="000A7302" w:rsidP="000A730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二、【不良反应】项应当包括：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消化系统：恶心、呕吐、食欲不振、胃痛、腹胀、腹痛、腹泻等。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精神及神经系统：头晕、头痛、麻木等。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皮肤及其附件：皮疹、瘙痒、多汗等。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心血管系统：心悸、血压波动等。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呼吸系统：胸闷、呼吸困难等。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6.</w:t>
      </w:r>
      <w:r>
        <w:rPr>
          <w:rFonts w:eastAsia="仿宋_GB2312" w:hint="eastAsia"/>
          <w:sz w:val="32"/>
          <w:szCs w:val="32"/>
        </w:rPr>
        <w:t>其他：视觉异常等。</w:t>
      </w:r>
    </w:p>
    <w:p w:rsidR="000A7302" w:rsidRDefault="000A7302" w:rsidP="000A730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三、【禁忌】项应当包括：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对本品或组方成份过敏者禁用。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孕妇及哺乳期妇女禁用。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严重心脏病、房室传导阻滞、高血压者忌用。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乙醇中毒、肝病患者禁用；肝肾功能不全者禁用。</w:t>
      </w:r>
    </w:p>
    <w:p w:rsidR="000A7302" w:rsidRDefault="000A7302" w:rsidP="000A730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四、【注意事项】项应当包括：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本品每粒含对乙酰氨基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/>
          <w:sz w:val="32"/>
          <w:szCs w:val="32"/>
        </w:rPr>
        <w:t>0.1g</w:t>
      </w:r>
      <w:r>
        <w:rPr>
          <w:rFonts w:eastAsia="仿宋_GB2312" w:hint="eastAsia"/>
          <w:sz w:val="32"/>
          <w:szCs w:val="32"/>
        </w:rPr>
        <w:t>，对乙酰氨基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成人常用量：一次</w:t>
      </w:r>
      <w:r>
        <w:rPr>
          <w:rFonts w:eastAsia="仿宋_GB2312"/>
          <w:sz w:val="32"/>
          <w:szCs w:val="32"/>
        </w:rPr>
        <w:t>0.3~0.6g</w:t>
      </w:r>
      <w:r>
        <w:rPr>
          <w:rFonts w:eastAsia="仿宋_GB2312" w:hint="eastAsia"/>
          <w:sz w:val="32"/>
          <w:szCs w:val="32"/>
        </w:rPr>
        <w:t>，一日</w:t>
      </w:r>
      <w:r>
        <w:rPr>
          <w:rFonts w:eastAsia="仿宋_GB2312"/>
          <w:sz w:val="32"/>
          <w:szCs w:val="32"/>
        </w:rPr>
        <w:t>2~3</w:t>
      </w:r>
      <w:r>
        <w:rPr>
          <w:rFonts w:eastAsia="仿宋_GB2312" w:hint="eastAsia"/>
          <w:sz w:val="32"/>
          <w:szCs w:val="32"/>
        </w:rPr>
        <w:t>次，或</w:t>
      </w:r>
      <w:proofErr w:type="gramStart"/>
      <w:r>
        <w:rPr>
          <w:rFonts w:eastAsia="仿宋_GB2312" w:hint="eastAsia"/>
          <w:sz w:val="32"/>
          <w:szCs w:val="32"/>
        </w:rPr>
        <w:t>遵</w:t>
      </w:r>
      <w:proofErr w:type="gramEnd"/>
      <w:r>
        <w:rPr>
          <w:rFonts w:eastAsia="仿宋_GB2312" w:hint="eastAsia"/>
          <w:sz w:val="32"/>
          <w:szCs w:val="32"/>
        </w:rPr>
        <w:t>医嘱，日剂量不超过</w:t>
      </w:r>
      <w:r>
        <w:rPr>
          <w:rFonts w:eastAsia="仿宋_GB2312"/>
          <w:sz w:val="32"/>
          <w:szCs w:val="32"/>
        </w:rPr>
        <w:t>2g</w:t>
      </w:r>
      <w:r>
        <w:rPr>
          <w:rFonts w:eastAsia="仿宋_GB2312" w:hint="eastAsia"/>
          <w:sz w:val="32"/>
          <w:szCs w:val="32"/>
        </w:rPr>
        <w:t>。与含对乙酰氨基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的药品联合使用时，应注意计算对乙酰氨基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的用量，避免药物过量。文献报道肾功能不全患者长期大量使用对乙酰氨基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可发生血小板减少症及肝脏损害，甚至出现黄疸；可使肾功能损害进一步加重，突然出现少尿，氮质血症等肾功能衰竭的表现。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本品组方药材制草乌中含乌头碱，应在医生指导下，严格按照说明书用法用量，从小剂量开始服用，不得任意增加服用量和服用时间。服药后如果出现唇舌发麻、头痛头昏、腹痛腹泻、心烦欲呕、呼吸困难等情况，应立即停药并到医院就治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使用含对乙酰氨基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的药物可引起罕见的但致死性的皮肤不良反应，有报道，极少数患者使用对乙酰氨基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可能出现致命的、严重的皮肤不良反应，例如剥脱性皮炎、中毒性表皮坏死松解症（</w:t>
      </w:r>
      <w:r>
        <w:rPr>
          <w:rFonts w:eastAsia="仿宋_GB2312"/>
          <w:sz w:val="32"/>
          <w:szCs w:val="32"/>
        </w:rPr>
        <w:t>TEN</w:t>
      </w:r>
      <w:r>
        <w:rPr>
          <w:rFonts w:eastAsia="仿宋_GB2312" w:hint="eastAsia"/>
          <w:sz w:val="32"/>
          <w:szCs w:val="32"/>
        </w:rPr>
        <w:t>）、</w:t>
      </w:r>
      <w:r>
        <w:rPr>
          <w:rFonts w:eastAsia="仿宋_GB2312"/>
          <w:sz w:val="32"/>
          <w:szCs w:val="32"/>
        </w:rPr>
        <w:t xml:space="preserve">Stevens </w:t>
      </w:r>
      <w:proofErr w:type="spellStart"/>
      <w:r>
        <w:rPr>
          <w:rFonts w:eastAsia="仿宋_GB2312"/>
          <w:sz w:val="32"/>
          <w:szCs w:val="32"/>
        </w:rPr>
        <w:t>Johson</w:t>
      </w:r>
      <w:proofErr w:type="spellEnd"/>
      <w:r>
        <w:rPr>
          <w:rFonts w:eastAsia="仿宋_GB2312" w:hint="eastAsia"/>
          <w:sz w:val="32"/>
          <w:szCs w:val="32"/>
        </w:rPr>
        <w:t>综合征（</w:t>
      </w:r>
      <w:r>
        <w:rPr>
          <w:rFonts w:eastAsia="仿宋_GB2312"/>
          <w:sz w:val="32"/>
          <w:szCs w:val="32"/>
        </w:rPr>
        <w:t>SJS</w:t>
      </w:r>
      <w:r>
        <w:rPr>
          <w:rFonts w:eastAsia="仿宋_GB2312" w:hint="eastAsia"/>
          <w:sz w:val="32"/>
          <w:szCs w:val="32"/>
        </w:rPr>
        <w:t>）、急性泛发性发疹性脓疱病（</w:t>
      </w:r>
      <w:r>
        <w:rPr>
          <w:rFonts w:eastAsia="仿宋_GB2312"/>
          <w:sz w:val="32"/>
          <w:szCs w:val="32"/>
        </w:rPr>
        <w:t>AGEP</w:t>
      </w:r>
      <w:r>
        <w:rPr>
          <w:rFonts w:eastAsia="仿宋_GB2312" w:hint="eastAsia"/>
          <w:sz w:val="32"/>
          <w:szCs w:val="32"/>
        </w:rPr>
        <w:t>）。如用药后出现瘙痒、皮疹，尤其出现口腔、眼、外生殖器红斑、糜烂等，应立即停药或</w:t>
      </w:r>
      <w:proofErr w:type="gramStart"/>
      <w:r>
        <w:rPr>
          <w:rFonts w:eastAsia="仿宋_GB2312" w:hint="eastAsia"/>
          <w:sz w:val="32"/>
          <w:szCs w:val="32"/>
        </w:rPr>
        <w:t>遵</w:t>
      </w:r>
      <w:proofErr w:type="gramEnd"/>
      <w:r>
        <w:rPr>
          <w:rFonts w:eastAsia="仿宋_GB2312" w:hint="eastAsia"/>
          <w:sz w:val="32"/>
          <w:szCs w:val="32"/>
        </w:rPr>
        <w:t>医嘱。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应注意对乙酰氨基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对血糖、尿酸、肝生化检查、尿</w:t>
      </w:r>
      <w:r>
        <w:rPr>
          <w:rFonts w:eastAsia="仿宋_GB2312"/>
          <w:sz w:val="32"/>
          <w:szCs w:val="32"/>
        </w:rPr>
        <w:t>5-</w:t>
      </w:r>
      <w:r>
        <w:rPr>
          <w:rFonts w:eastAsia="仿宋_GB2312" w:hint="eastAsia"/>
          <w:sz w:val="32"/>
          <w:szCs w:val="32"/>
        </w:rPr>
        <w:t>羟吲哚醋酸（</w:t>
      </w:r>
      <w:r>
        <w:rPr>
          <w:rFonts w:eastAsia="仿宋_GB2312"/>
          <w:sz w:val="32"/>
          <w:szCs w:val="32"/>
        </w:rPr>
        <w:t>5-HIAA</w:t>
      </w:r>
      <w:r>
        <w:rPr>
          <w:rFonts w:eastAsia="仿宋_GB2312" w:hint="eastAsia"/>
          <w:sz w:val="32"/>
          <w:szCs w:val="32"/>
        </w:rPr>
        <w:t>）测定的影响。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应注意对乙酰氨基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与合并用药的药物相互作用：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）长期饮酒或应用其他肝酶诱导剂，尤其是应用巴比妥类或其他抗</w:t>
      </w:r>
      <w:proofErr w:type="gramStart"/>
      <w:r>
        <w:rPr>
          <w:rFonts w:eastAsia="仿宋_GB2312" w:hint="eastAsia"/>
          <w:sz w:val="32"/>
          <w:szCs w:val="32"/>
        </w:rPr>
        <w:t>痉</w:t>
      </w:r>
      <w:proofErr w:type="gramEnd"/>
      <w:r>
        <w:rPr>
          <w:rFonts w:eastAsia="仿宋_GB2312" w:hint="eastAsia"/>
          <w:sz w:val="32"/>
          <w:szCs w:val="32"/>
        </w:rPr>
        <w:t>药的患者，长期或超量使用对乙酰氨基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时，出现肝毒性反应的危险增加。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）抗凝剂：大量或长期使用对乙酰氨基</w:t>
      </w:r>
      <w:proofErr w:type="gramStart"/>
      <w:r>
        <w:rPr>
          <w:rFonts w:eastAsia="仿宋_GB2312" w:hint="eastAsia"/>
          <w:sz w:val="32"/>
          <w:szCs w:val="32"/>
        </w:rPr>
        <w:t>酚</w:t>
      </w:r>
      <w:proofErr w:type="gramEnd"/>
      <w:r>
        <w:rPr>
          <w:rFonts w:eastAsia="仿宋_GB2312" w:hint="eastAsia"/>
          <w:sz w:val="32"/>
          <w:szCs w:val="32"/>
        </w:rPr>
        <w:t>，可减少凝血因子在肝内的合成，增强抗凝药的作用，故抗凝药的用量应根据凝血酶原时间进行调整。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）长期大量与阿司匹林、其他水杨酸盐制剂或其他非</w:t>
      </w:r>
      <w:proofErr w:type="gramStart"/>
      <w:r>
        <w:rPr>
          <w:rFonts w:eastAsia="仿宋_GB2312" w:hint="eastAsia"/>
          <w:sz w:val="32"/>
          <w:szCs w:val="32"/>
        </w:rPr>
        <w:t>甾</w:t>
      </w:r>
      <w:proofErr w:type="gramEnd"/>
      <w:r>
        <w:rPr>
          <w:rFonts w:eastAsia="仿宋_GB2312" w:hint="eastAsia"/>
          <w:sz w:val="32"/>
          <w:szCs w:val="32"/>
        </w:rPr>
        <w:t>体类抗炎药合用时（如每年累积用量到</w:t>
      </w:r>
      <w:r>
        <w:rPr>
          <w:rFonts w:eastAsia="仿宋_GB2312"/>
          <w:sz w:val="32"/>
          <w:szCs w:val="32"/>
        </w:rPr>
        <w:t>1000g</w:t>
      </w:r>
      <w:r>
        <w:rPr>
          <w:rFonts w:eastAsia="仿宋_GB2312" w:hint="eastAsia"/>
          <w:sz w:val="32"/>
          <w:szCs w:val="32"/>
        </w:rPr>
        <w:t>，应用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年以上时），可明显增加肾毒性（包括肾乳头坏死、肾及膀胱癌瘤等）的危险。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）与</w:t>
      </w:r>
      <w:proofErr w:type="gramStart"/>
      <w:r>
        <w:rPr>
          <w:rFonts w:eastAsia="仿宋_GB2312" w:hint="eastAsia"/>
          <w:sz w:val="32"/>
          <w:szCs w:val="32"/>
        </w:rPr>
        <w:t>抗病毒药齐多夫</w:t>
      </w:r>
      <w:proofErr w:type="gramEnd"/>
      <w:r>
        <w:rPr>
          <w:rFonts w:eastAsia="仿宋_GB2312" w:hint="eastAsia"/>
          <w:sz w:val="32"/>
          <w:szCs w:val="32"/>
        </w:rPr>
        <w:t>定合用时，可因互相降低与葡萄糖醛酸的结合作用，使清除率降低、毒性增加，因此应避免同时应用。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）与氯霉素同服，可增强后者的毒性。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6.</w:t>
      </w:r>
      <w:r>
        <w:rPr>
          <w:rFonts w:eastAsia="仿宋_GB2312" w:hint="eastAsia"/>
          <w:sz w:val="32"/>
          <w:szCs w:val="32"/>
        </w:rPr>
        <w:t>胃肠不适者或过敏体质者应慎用。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7.</w:t>
      </w:r>
      <w:r>
        <w:rPr>
          <w:rFonts w:eastAsia="仿宋_GB2312" w:hint="eastAsia"/>
          <w:sz w:val="32"/>
          <w:szCs w:val="32"/>
        </w:rPr>
        <w:t>应避免空腹或饮酒后服药。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8.</w:t>
      </w:r>
      <w:r>
        <w:rPr>
          <w:rFonts w:eastAsia="仿宋_GB2312" w:hint="eastAsia"/>
          <w:sz w:val="32"/>
          <w:szCs w:val="32"/>
        </w:rPr>
        <w:t>本品不宜与含半夏、贝母、天花粉、瓜</w:t>
      </w:r>
      <w:proofErr w:type="gramStart"/>
      <w:r>
        <w:rPr>
          <w:rFonts w:eastAsia="仿宋_GB2312" w:hint="eastAsia"/>
          <w:sz w:val="32"/>
          <w:szCs w:val="32"/>
        </w:rPr>
        <w:t>蒌</w:t>
      </w:r>
      <w:proofErr w:type="gramEnd"/>
      <w:r>
        <w:rPr>
          <w:rFonts w:eastAsia="仿宋_GB2312" w:hint="eastAsia"/>
          <w:sz w:val="32"/>
          <w:szCs w:val="32"/>
        </w:rPr>
        <w:t>、白及、白</w:t>
      </w:r>
      <w:proofErr w:type="gramStart"/>
      <w:r>
        <w:rPr>
          <w:rFonts w:eastAsia="仿宋_GB2312" w:hint="eastAsia"/>
          <w:sz w:val="32"/>
          <w:szCs w:val="32"/>
        </w:rPr>
        <w:t>蔹</w:t>
      </w:r>
      <w:proofErr w:type="gramEnd"/>
      <w:r>
        <w:rPr>
          <w:rFonts w:eastAsia="仿宋_GB2312" w:hint="eastAsia"/>
          <w:sz w:val="32"/>
          <w:szCs w:val="32"/>
        </w:rPr>
        <w:t>等的中药同用。</w:t>
      </w:r>
    </w:p>
    <w:p w:rsidR="000A7302" w:rsidRDefault="000A7302" w:rsidP="000A730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五、特殊人群用药应当包括：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【孕妇及哺乳期妇女用药】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孕妇及哺乳期妇女禁用。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【儿童用药】</w:t>
      </w:r>
    </w:p>
    <w:p w:rsidR="000A7302" w:rsidRDefault="000A7302" w:rsidP="000A7302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本品用于儿童的安全性及有效性尚不明确，不建议儿童使用。</w:t>
      </w:r>
    </w:p>
    <w:p w:rsidR="000A7302" w:rsidRDefault="000A7302" w:rsidP="000A730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【老年用药】</w:t>
      </w:r>
    </w:p>
    <w:p w:rsidR="0035559E" w:rsidRPr="00E04EA3" w:rsidRDefault="000A7302" w:rsidP="00E04EA3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老年患者用药应减量或遵医嘱。</w:t>
      </w:r>
      <w:bookmarkStart w:id="0" w:name="_GoBack"/>
      <w:bookmarkEnd w:id="0"/>
    </w:p>
    <w:sectPr w:rsidR="0035559E" w:rsidRPr="00E04EA3" w:rsidSect="005F703E">
      <w:footerReference w:type="even" r:id="rId7"/>
      <w:footerReference w:type="default" r:id="rId8"/>
      <w:pgSz w:w="11906" w:h="16838"/>
      <w:pgMar w:top="1758" w:right="1531" w:bottom="1588" w:left="153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637" w:rsidRDefault="00AC1637" w:rsidP="000A7302">
      <w:r>
        <w:separator/>
      </w:r>
    </w:p>
  </w:endnote>
  <w:endnote w:type="continuationSeparator" w:id="0">
    <w:p w:rsidR="00AC1637" w:rsidRDefault="00AC1637" w:rsidP="000A7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056" w:rsidRPr="005F703E" w:rsidRDefault="005B5029" w:rsidP="005F703E">
    <w:pPr>
      <w:pStyle w:val="a4"/>
      <w:ind w:firstLineChars="100" w:firstLine="280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5F703E">
      <w:rPr>
        <w:sz w:val="28"/>
        <w:szCs w:val="28"/>
      </w:rPr>
      <w:fldChar w:fldCharType="begin"/>
    </w:r>
    <w:r w:rsidRPr="005F703E">
      <w:rPr>
        <w:sz w:val="28"/>
        <w:szCs w:val="28"/>
      </w:rPr>
      <w:instrText>PAGE   \* MERGEFORMAT</w:instrText>
    </w:r>
    <w:r w:rsidRPr="005F703E">
      <w:rPr>
        <w:sz w:val="28"/>
        <w:szCs w:val="28"/>
      </w:rPr>
      <w:fldChar w:fldCharType="separate"/>
    </w:r>
    <w:r w:rsidRPr="009D457D">
      <w:rPr>
        <w:noProof/>
        <w:sz w:val="28"/>
        <w:szCs w:val="28"/>
        <w:lang w:val="zh-CN"/>
      </w:rPr>
      <w:t>6</w:t>
    </w:r>
    <w:r w:rsidRPr="005F703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9A1829" w:rsidRDefault="00AC1637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056" w:rsidRPr="005F703E" w:rsidRDefault="005B5029">
    <w:pPr>
      <w:pStyle w:val="a4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5F703E">
      <w:rPr>
        <w:sz w:val="28"/>
        <w:szCs w:val="28"/>
      </w:rPr>
      <w:fldChar w:fldCharType="begin"/>
    </w:r>
    <w:r w:rsidRPr="005F703E">
      <w:rPr>
        <w:sz w:val="28"/>
        <w:szCs w:val="28"/>
      </w:rPr>
      <w:instrText>PAGE   \* MERGEFORMAT</w:instrText>
    </w:r>
    <w:r w:rsidRPr="005F703E">
      <w:rPr>
        <w:sz w:val="28"/>
        <w:szCs w:val="28"/>
      </w:rPr>
      <w:fldChar w:fldCharType="separate"/>
    </w:r>
    <w:r w:rsidR="00E04EA3" w:rsidRPr="00E04EA3">
      <w:rPr>
        <w:noProof/>
        <w:sz w:val="28"/>
        <w:szCs w:val="28"/>
        <w:lang w:val="zh-CN"/>
      </w:rPr>
      <w:t>1</w:t>
    </w:r>
    <w:r w:rsidRPr="005F703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 w:rsidRPr="005F703E">
      <w:rPr>
        <w:rFonts w:hint="eastAsia"/>
        <w:color w:val="FFFFFF"/>
        <w:sz w:val="28"/>
        <w:szCs w:val="28"/>
      </w:rPr>
      <w:t>—</w:t>
    </w:r>
  </w:p>
  <w:p w:rsidR="009A1829" w:rsidRDefault="00AC1637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637" w:rsidRDefault="00AC1637" w:rsidP="000A7302">
      <w:r>
        <w:separator/>
      </w:r>
    </w:p>
  </w:footnote>
  <w:footnote w:type="continuationSeparator" w:id="0">
    <w:p w:rsidR="00AC1637" w:rsidRDefault="00AC1637" w:rsidP="000A7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D5D"/>
    <w:rsid w:val="000A7302"/>
    <w:rsid w:val="0035559E"/>
    <w:rsid w:val="005B5029"/>
    <w:rsid w:val="00AC1637"/>
    <w:rsid w:val="00CD7D5D"/>
    <w:rsid w:val="00E0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0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7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73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73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7302"/>
    <w:rPr>
      <w:sz w:val="18"/>
      <w:szCs w:val="18"/>
    </w:rPr>
  </w:style>
  <w:style w:type="paragraph" w:styleId="a5">
    <w:name w:val="List Paragraph"/>
    <w:basedOn w:val="a"/>
    <w:uiPriority w:val="34"/>
    <w:qFormat/>
    <w:rsid w:val="000A730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0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7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73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73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7302"/>
    <w:rPr>
      <w:sz w:val="18"/>
      <w:szCs w:val="18"/>
    </w:rPr>
  </w:style>
  <w:style w:type="paragraph" w:styleId="a5">
    <w:name w:val="List Paragraph"/>
    <w:basedOn w:val="a"/>
    <w:uiPriority w:val="34"/>
    <w:qFormat/>
    <w:rsid w:val="000A730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</Words>
  <Characters>1137</Characters>
  <Application>Microsoft Office Word</Application>
  <DocSecurity>0</DocSecurity>
  <Lines>9</Lines>
  <Paragraphs>2</Paragraphs>
  <ScaleCrop>false</ScaleCrop>
  <Company>CFDA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3</cp:revision>
  <dcterms:created xsi:type="dcterms:W3CDTF">2015-06-29T05:54:00Z</dcterms:created>
  <dcterms:modified xsi:type="dcterms:W3CDTF">2015-06-29T05:55:00Z</dcterms:modified>
</cp:coreProperties>
</file>