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87C" w:rsidRDefault="0082587C" w:rsidP="0082587C">
      <w:pPr>
        <w:spacing w:line="520" w:lineRule="exact"/>
        <w:rPr>
          <w:rFonts w:ascii="黑体" w:eastAsia="黑体" w:hAnsi="黑体"/>
          <w:sz w:val="32"/>
          <w:szCs w:val="32"/>
        </w:rPr>
      </w:pPr>
      <w:bookmarkStart w:id="0" w:name="zhengwen"/>
      <w:r>
        <w:rPr>
          <w:rFonts w:ascii="黑体" w:eastAsia="黑体" w:hAnsi="黑体" w:hint="eastAsia"/>
          <w:sz w:val="32"/>
          <w:szCs w:val="32"/>
        </w:rPr>
        <w:t>附件</w:t>
      </w:r>
    </w:p>
    <w:p w:rsidR="0082587C" w:rsidRDefault="0082587C" w:rsidP="0082587C">
      <w:pPr>
        <w:spacing w:line="520" w:lineRule="exact"/>
        <w:rPr>
          <w:rFonts w:ascii="仿宋" w:eastAsia="仿宋" w:hAnsi="仿宋"/>
          <w:sz w:val="28"/>
          <w:szCs w:val="28"/>
        </w:rPr>
      </w:pPr>
    </w:p>
    <w:p w:rsidR="0082587C" w:rsidRDefault="0082587C" w:rsidP="0082587C">
      <w:pPr>
        <w:spacing w:line="52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冠心</w:t>
      </w:r>
      <w:r w:rsidRPr="008520D0">
        <w:rPr>
          <w:rFonts w:ascii="方正小标宋简体" w:eastAsia="方正小标宋简体" w:hAnsi="仿宋" w:hint="eastAsia"/>
          <w:sz w:val="44"/>
          <w:szCs w:val="44"/>
        </w:rPr>
        <w:t>宁注射液</w:t>
      </w:r>
      <w:r>
        <w:rPr>
          <w:rFonts w:ascii="方正小标宋简体" w:eastAsia="方正小标宋简体" w:hAnsi="仿宋" w:hint="eastAsia"/>
          <w:sz w:val="44"/>
          <w:szCs w:val="44"/>
        </w:rPr>
        <w:t>说明书修订要求</w:t>
      </w:r>
    </w:p>
    <w:p w:rsidR="0082587C" w:rsidRDefault="0082587C" w:rsidP="0082587C">
      <w:pPr>
        <w:spacing w:line="520" w:lineRule="exact"/>
      </w:pPr>
    </w:p>
    <w:bookmarkEnd w:id="0"/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一、警示语应增加内容如下：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本品不良反应包括过敏性休克，应在有抢救条件的医疗机构使用，使用者应接受过过敏性休克抢救培训，用药后出现过敏反应或其他严重不良反应须立即停药并及时救治。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二、【不良反应】项应当包括：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过敏反应：全身皮肤潮红、皮疹、瘙痒、呼吸困难、憋气、心悸、紫</w:t>
      </w:r>
      <w:proofErr w:type="gramStart"/>
      <w:r w:rsidRPr="001060F9">
        <w:rPr>
          <w:rFonts w:eastAsia="仿宋_GB2312"/>
          <w:sz w:val="32"/>
          <w:szCs w:val="32"/>
        </w:rPr>
        <w:t>绀</w:t>
      </w:r>
      <w:proofErr w:type="gramEnd"/>
      <w:r w:rsidRPr="001060F9">
        <w:rPr>
          <w:rFonts w:eastAsia="仿宋_GB2312"/>
          <w:sz w:val="32"/>
          <w:szCs w:val="32"/>
        </w:rPr>
        <w:t>、血压下降、喉水肿、过敏性休克等。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全身性损害：畏寒、寒战、发热、乏力、疼痛、面色苍白、多汗等。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呼吸系统：呼吸急促、哮喘、咳嗽等。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心血管系统：心悸、胸闷、胸痛、心律失常、血压升高等。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胃肠道系统：恶心、呕吐、腹痛、腹胀、腹泻等。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神经精神系统：头晕、头痛、头胀、震颤、抽搐、昏迷、口麻木、烦躁、失眠等。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皮肤及其附件：风团样皮疹、丘疹、红斑、血管性水肿等。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用药部位：注射部位的疼痛、麻木、皮疹、静脉炎等。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三、【禁忌】项应当包括：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1</w:t>
      </w:r>
      <w:r w:rsidRPr="001060F9">
        <w:rPr>
          <w:rFonts w:eastAsia="仿宋_GB2312"/>
          <w:sz w:val="32"/>
          <w:szCs w:val="32"/>
        </w:rPr>
        <w:t>．对本品或含有丹参、川芎制剂及成份中所列辅料过敏或有严重不良反应病史者禁用。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2</w:t>
      </w:r>
      <w:r w:rsidRPr="001060F9">
        <w:rPr>
          <w:rFonts w:eastAsia="仿宋_GB2312"/>
          <w:sz w:val="32"/>
          <w:szCs w:val="32"/>
        </w:rPr>
        <w:t>．儿童、孕妇禁用。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四、【注意事项】项应当包括：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1</w:t>
      </w:r>
      <w:r w:rsidRPr="001060F9">
        <w:rPr>
          <w:rFonts w:eastAsia="仿宋_GB2312"/>
          <w:sz w:val="32"/>
          <w:szCs w:val="32"/>
        </w:rPr>
        <w:t>．本品不良反应包括过敏性休克，应在有抢救条件的医疗机构使用，使用者应接受过过敏性休克抢救培训，用药后出现过</w:t>
      </w:r>
      <w:r w:rsidRPr="001060F9">
        <w:rPr>
          <w:rFonts w:eastAsia="仿宋_GB2312"/>
          <w:sz w:val="32"/>
          <w:szCs w:val="32"/>
        </w:rPr>
        <w:lastRenderedPageBreak/>
        <w:t>敏反应或其他严重不良反应须立即停药并及时救治。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2</w:t>
      </w:r>
      <w:r w:rsidRPr="001060F9">
        <w:rPr>
          <w:rFonts w:eastAsia="仿宋_GB2312"/>
          <w:sz w:val="32"/>
          <w:szCs w:val="32"/>
        </w:rPr>
        <w:t>．严格按照药品说明书规定的功能主治使用，禁止超功能主治用药。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3</w:t>
      </w:r>
      <w:r w:rsidRPr="001060F9">
        <w:rPr>
          <w:rFonts w:eastAsia="仿宋_GB2312"/>
          <w:sz w:val="32"/>
          <w:szCs w:val="32"/>
        </w:rPr>
        <w:t>．严格掌握用法用量。按照药品说明书推荐剂量使用药品。不超剂量、过快滴注和长期连续用药。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4</w:t>
      </w:r>
      <w:r w:rsidRPr="001060F9">
        <w:rPr>
          <w:rFonts w:eastAsia="仿宋_GB2312"/>
          <w:sz w:val="32"/>
          <w:szCs w:val="32"/>
        </w:rPr>
        <w:t>．本品为中药注射剂，保存不当可能会影响药品质量；用药前和配制后及使用过程中应认真检查本品及滴注液，发现药液出现浑浊、沉淀、变色、结晶等药物性状改变以及瓶身有漏气、裂纹等现象时，均不得使用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5</w:t>
      </w:r>
      <w:r w:rsidRPr="001060F9">
        <w:rPr>
          <w:rFonts w:eastAsia="仿宋_GB2312"/>
          <w:sz w:val="32"/>
          <w:szCs w:val="32"/>
        </w:rPr>
        <w:t>．严禁混合配伍，谨慎联合用药。本品应单独使用，禁忌与其他药品混合配伍使用。如确需要联合使用其他药品时，应谨慎考虑与本品的间隔时间以及药物相互作用等问题。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6</w:t>
      </w:r>
      <w:r w:rsidRPr="001060F9">
        <w:rPr>
          <w:rFonts w:eastAsia="仿宋_GB2312"/>
          <w:sz w:val="32"/>
          <w:szCs w:val="32"/>
        </w:rPr>
        <w:t>．用药前应仔细询问患者情况、用药史和过敏史。过敏体质者、心脏严重疾患、有出血倾向者、肝肾功能异常患者、老人、哺乳期妇女、初次使用</w:t>
      </w:r>
      <w:bookmarkStart w:id="1" w:name="_GoBack"/>
      <w:bookmarkEnd w:id="1"/>
      <w:r w:rsidRPr="001060F9">
        <w:rPr>
          <w:rFonts w:eastAsia="仿宋_GB2312"/>
          <w:sz w:val="32"/>
          <w:szCs w:val="32"/>
        </w:rPr>
        <w:t>中药注射剂的患者应慎重使用，如确需使用请</w:t>
      </w:r>
      <w:proofErr w:type="gramStart"/>
      <w:r w:rsidRPr="001060F9">
        <w:rPr>
          <w:rFonts w:eastAsia="仿宋_GB2312"/>
          <w:sz w:val="32"/>
          <w:szCs w:val="32"/>
        </w:rPr>
        <w:t>遵</w:t>
      </w:r>
      <w:proofErr w:type="gramEnd"/>
      <w:r w:rsidRPr="001060F9">
        <w:rPr>
          <w:rFonts w:eastAsia="仿宋_GB2312"/>
          <w:sz w:val="32"/>
          <w:szCs w:val="32"/>
        </w:rPr>
        <w:t>医嘱，并加强监测。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7</w:t>
      </w:r>
      <w:r w:rsidRPr="001060F9">
        <w:rPr>
          <w:rFonts w:eastAsia="仿宋_GB2312"/>
          <w:sz w:val="32"/>
          <w:szCs w:val="32"/>
        </w:rPr>
        <w:t>．静脉滴注时，必须稀释以后使用。首次用药，宜选用小剂量，慢速滴注。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8</w:t>
      </w:r>
      <w:r w:rsidRPr="001060F9">
        <w:rPr>
          <w:rFonts w:eastAsia="仿宋_GB2312"/>
          <w:sz w:val="32"/>
          <w:szCs w:val="32"/>
        </w:rPr>
        <w:t>．禁止使用静脉推注的方法给药。</w:t>
      </w:r>
    </w:p>
    <w:p w:rsidR="0082587C" w:rsidRPr="001060F9" w:rsidRDefault="0082587C" w:rsidP="0082587C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9</w:t>
      </w:r>
      <w:r w:rsidRPr="001060F9">
        <w:rPr>
          <w:rFonts w:eastAsia="仿宋_GB2312"/>
          <w:sz w:val="32"/>
          <w:szCs w:val="32"/>
        </w:rPr>
        <w:t>．加强用药监护。用药过程中，应密切观察用药反应，特别是开始</w:t>
      </w:r>
      <w:r w:rsidRPr="001060F9">
        <w:rPr>
          <w:rFonts w:eastAsia="仿宋_GB2312"/>
          <w:sz w:val="32"/>
          <w:szCs w:val="32"/>
        </w:rPr>
        <w:t>30</w:t>
      </w:r>
      <w:r w:rsidRPr="001060F9">
        <w:rPr>
          <w:rFonts w:eastAsia="仿宋_GB2312"/>
          <w:sz w:val="32"/>
          <w:szCs w:val="32"/>
        </w:rPr>
        <w:t>分钟。发现异常，立即停药，采用积极救治措施，救治患者。</w:t>
      </w:r>
    </w:p>
    <w:p w:rsidR="00ED1741" w:rsidRPr="00BA72E0" w:rsidRDefault="0082587C" w:rsidP="00BA72E0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1060F9">
        <w:rPr>
          <w:rFonts w:eastAsia="仿宋_GB2312"/>
          <w:sz w:val="32"/>
          <w:szCs w:val="32"/>
        </w:rPr>
        <w:t>10</w:t>
      </w:r>
      <w:r w:rsidRPr="001060F9">
        <w:rPr>
          <w:rFonts w:eastAsia="仿宋_GB2312"/>
          <w:sz w:val="32"/>
          <w:szCs w:val="32"/>
        </w:rPr>
        <w:t>．本品含丹参，不宜与藜芦配伍使用。到目前为止，已确认本品不能与</w:t>
      </w:r>
      <w:proofErr w:type="gramStart"/>
      <w:r w:rsidRPr="001060F9">
        <w:rPr>
          <w:rFonts w:eastAsia="仿宋_GB2312"/>
          <w:sz w:val="32"/>
          <w:szCs w:val="32"/>
        </w:rPr>
        <w:t>喹</w:t>
      </w:r>
      <w:proofErr w:type="gramEnd"/>
      <w:r w:rsidRPr="001060F9">
        <w:rPr>
          <w:rFonts w:eastAsia="仿宋_GB2312"/>
          <w:sz w:val="32"/>
          <w:szCs w:val="32"/>
        </w:rPr>
        <w:t>诺酮类、甘草酸二胺、盐酸罂粟碱等联合应用。不建议与抗生素尤其是青霉素等高敏类药物联合使用。</w:t>
      </w:r>
      <w:r w:rsidR="00BA72E0">
        <w:rPr>
          <w:rFonts w:eastAsia="仿宋_GB2312" w:hint="eastAsia"/>
          <w:sz w:val="32"/>
          <w:szCs w:val="32"/>
        </w:rPr>
        <w:t xml:space="preserve"> </w:t>
      </w:r>
    </w:p>
    <w:sectPr w:rsidR="00ED1741" w:rsidRPr="00BA72E0" w:rsidSect="001060F9">
      <w:footerReference w:type="even" r:id="rId7"/>
      <w:footerReference w:type="default" r:id="rId8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D4D" w:rsidRDefault="00520D4D" w:rsidP="0082587C">
      <w:r>
        <w:separator/>
      </w:r>
    </w:p>
  </w:endnote>
  <w:endnote w:type="continuationSeparator" w:id="0">
    <w:p w:rsidR="00520D4D" w:rsidRDefault="00520D4D" w:rsidP="00825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42F" w:rsidRPr="001060F9" w:rsidRDefault="00524B95">
    <w:pPr>
      <w:pStyle w:val="a4"/>
      <w:rPr>
        <w:sz w:val="28"/>
        <w:szCs w:val="28"/>
      </w:rPr>
    </w:pPr>
    <w:r w:rsidRPr="001060F9"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1060F9">
      <w:rPr>
        <w:sz w:val="28"/>
        <w:szCs w:val="28"/>
      </w:rPr>
      <w:fldChar w:fldCharType="begin"/>
    </w:r>
    <w:r w:rsidRPr="001060F9">
      <w:rPr>
        <w:sz w:val="28"/>
        <w:szCs w:val="28"/>
      </w:rPr>
      <w:instrText>PAGE   \* MERGEFORMAT</w:instrText>
    </w:r>
    <w:r w:rsidRPr="001060F9">
      <w:rPr>
        <w:sz w:val="28"/>
        <w:szCs w:val="28"/>
      </w:rPr>
      <w:fldChar w:fldCharType="separate"/>
    </w:r>
    <w:r w:rsidRPr="00C86A71">
      <w:rPr>
        <w:noProof/>
        <w:sz w:val="28"/>
        <w:szCs w:val="28"/>
        <w:lang w:val="zh-CN"/>
      </w:rPr>
      <w:t>4</w:t>
    </w:r>
    <w:r w:rsidRPr="001060F9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9A1829" w:rsidRDefault="00520D4D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42F" w:rsidRPr="001060F9" w:rsidRDefault="00524B95" w:rsidP="001060F9">
    <w:pPr>
      <w:pStyle w:val="a4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1060F9">
      <w:rPr>
        <w:sz w:val="28"/>
        <w:szCs w:val="28"/>
      </w:rPr>
      <w:fldChar w:fldCharType="begin"/>
    </w:r>
    <w:r w:rsidRPr="001060F9">
      <w:rPr>
        <w:sz w:val="28"/>
        <w:szCs w:val="28"/>
      </w:rPr>
      <w:instrText>PAGE   \* MERGEFORMAT</w:instrText>
    </w:r>
    <w:r w:rsidRPr="001060F9">
      <w:rPr>
        <w:sz w:val="28"/>
        <w:szCs w:val="28"/>
      </w:rPr>
      <w:fldChar w:fldCharType="separate"/>
    </w:r>
    <w:r w:rsidR="00BA72E0" w:rsidRPr="00BA72E0">
      <w:rPr>
        <w:noProof/>
        <w:sz w:val="28"/>
        <w:szCs w:val="28"/>
        <w:lang w:val="zh-CN"/>
      </w:rPr>
      <w:t>1</w:t>
    </w:r>
    <w:r w:rsidRPr="001060F9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  <w:r w:rsidRPr="001060F9">
      <w:rPr>
        <w:rFonts w:hint="eastAsia"/>
        <w:color w:val="FFFFFF"/>
        <w:sz w:val="28"/>
        <w:szCs w:val="28"/>
      </w:rPr>
      <w:t>—</w:t>
    </w:r>
  </w:p>
  <w:p w:rsidR="009A1829" w:rsidRDefault="00520D4D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D4D" w:rsidRDefault="00520D4D" w:rsidP="0082587C">
      <w:r>
        <w:separator/>
      </w:r>
    </w:p>
  </w:footnote>
  <w:footnote w:type="continuationSeparator" w:id="0">
    <w:p w:rsidR="00520D4D" w:rsidRDefault="00520D4D" w:rsidP="00825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AD3"/>
    <w:rsid w:val="000E6AD3"/>
    <w:rsid w:val="00520D4D"/>
    <w:rsid w:val="00524B95"/>
    <w:rsid w:val="0082587C"/>
    <w:rsid w:val="00B8332B"/>
    <w:rsid w:val="00BA72E0"/>
    <w:rsid w:val="00ED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8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58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58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58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587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8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58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58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58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58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157</Words>
  <Characters>901</Characters>
  <Application>Microsoft Office Word</Application>
  <DocSecurity>0</DocSecurity>
  <Lines>7</Lines>
  <Paragraphs>2</Paragraphs>
  <ScaleCrop>false</ScaleCrop>
  <Company>CFDA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张京梅</dc:creator>
  <cp:lastModifiedBy>张京梅</cp:lastModifiedBy>
  <cp:revision>3</cp:revision>
  <dcterms:created xsi:type="dcterms:W3CDTF">2015-11-23T05:40:00Z</dcterms:created>
  <dcterms:modified xsi:type="dcterms:W3CDTF">2015-11-23T05:47:00Z</dcterms:modified>
</cp:coreProperties>
</file>