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9FD" w:rsidRPr="0052095B" w:rsidRDefault="009569FD" w:rsidP="009569FD">
      <w:pPr>
        <w:spacing w:line="600" w:lineRule="exact"/>
        <w:ind w:leftChars="1" w:left="1877" w:hangingChars="586" w:hanging="1875"/>
        <w:rPr>
          <w:rFonts w:eastAsia="黑体"/>
          <w:sz w:val="32"/>
          <w:szCs w:val="32"/>
        </w:rPr>
      </w:pPr>
      <w:r w:rsidRPr="0052095B">
        <w:rPr>
          <w:rFonts w:eastAsia="黑体"/>
          <w:sz w:val="32"/>
          <w:szCs w:val="32"/>
        </w:rPr>
        <w:t>附件</w:t>
      </w:r>
    </w:p>
    <w:p w:rsidR="009569FD" w:rsidRPr="0052095B" w:rsidRDefault="009569FD" w:rsidP="009569FD">
      <w:pPr>
        <w:spacing w:line="640" w:lineRule="exact"/>
        <w:rPr>
          <w:rFonts w:eastAsia="黑体"/>
          <w:sz w:val="44"/>
          <w:szCs w:val="44"/>
        </w:rPr>
      </w:pPr>
    </w:p>
    <w:p w:rsidR="009569FD" w:rsidRDefault="009569FD" w:rsidP="009569FD">
      <w:pPr>
        <w:spacing w:line="640" w:lineRule="exact"/>
        <w:jc w:val="center"/>
        <w:rPr>
          <w:rFonts w:eastAsia="方正小标宋简体"/>
          <w:sz w:val="44"/>
          <w:szCs w:val="44"/>
        </w:rPr>
      </w:pPr>
      <w:r w:rsidRPr="001F2C28">
        <w:rPr>
          <w:rFonts w:eastAsia="方正小标宋简体" w:hint="eastAsia"/>
          <w:sz w:val="44"/>
          <w:szCs w:val="44"/>
        </w:rPr>
        <w:t>地塞米松注射剂</w:t>
      </w:r>
      <w:r w:rsidRPr="0052095B">
        <w:rPr>
          <w:rFonts w:eastAsia="方正小标宋简体"/>
          <w:sz w:val="44"/>
          <w:szCs w:val="44"/>
        </w:rPr>
        <w:t>说明书修订要求</w:t>
      </w:r>
    </w:p>
    <w:p w:rsidR="009569FD" w:rsidRPr="004E1F21" w:rsidRDefault="009569FD" w:rsidP="009569FD">
      <w:pPr>
        <w:spacing w:line="640" w:lineRule="exact"/>
        <w:ind w:firstLine="641"/>
        <w:rPr>
          <w:rFonts w:eastAsia="仿宋"/>
          <w:sz w:val="32"/>
          <w:szCs w:val="32"/>
        </w:rPr>
      </w:pPr>
    </w:p>
    <w:p w:rsidR="009569FD" w:rsidRPr="004E1F21" w:rsidRDefault="009569FD" w:rsidP="009569FD">
      <w:pPr>
        <w:spacing w:line="600" w:lineRule="exact"/>
        <w:ind w:firstLineChars="200" w:firstLine="640"/>
        <w:rPr>
          <w:rFonts w:eastAsia="仿宋_GB2312"/>
          <w:sz w:val="32"/>
          <w:szCs w:val="32"/>
        </w:rPr>
      </w:pPr>
      <w:r w:rsidRPr="004E1F21">
        <w:rPr>
          <w:rFonts w:eastAsia="仿宋_GB2312"/>
          <w:sz w:val="32"/>
          <w:szCs w:val="32"/>
        </w:rPr>
        <w:t>说明书中必须包含以下内容</w:t>
      </w:r>
      <w:r w:rsidRPr="004E1F21">
        <w:rPr>
          <w:rFonts w:eastAsia="仿宋_GB2312"/>
          <w:sz w:val="32"/>
          <w:szCs w:val="32"/>
        </w:rPr>
        <w:t>:</w:t>
      </w:r>
    </w:p>
    <w:p w:rsidR="009569FD" w:rsidRPr="004E1F21" w:rsidRDefault="009569FD" w:rsidP="009569FD">
      <w:pPr>
        <w:spacing w:line="600" w:lineRule="exact"/>
        <w:ind w:firstLineChars="200" w:firstLine="640"/>
        <w:rPr>
          <w:rFonts w:eastAsia="仿宋_GB2312"/>
          <w:sz w:val="32"/>
          <w:szCs w:val="32"/>
        </w:rPr>
      </w:pPr>
      <w:r w:rsidRPr="004E1F21">
        <w:rPr>
          <w:rFonts w:eastAsia="仿宋_GB2312"/>
          <w:sz w:val="32"/>
          <w:szCs w:val="32"/>
        </w:rPr>
        <w:t>【不良反应】糖皮质激素在应用生理剂量替代治疗时无明显不良反应，不良反应多发生在应用药理剂量时，而且与疗程、剂量、用药种类、用法及给药途径等有密切关系。本品不良反应有以下几类：</w:t>
      </w:r>
    </w:p>
    <w:p w:rsidR="009569FD" w:rsidRPr="004E1F21" w:rsidRDefault="009569FD" w:rsidP="009569FD">
      <w:pPr>
        <w:spacing w:line="600" w:lineRule="exact"/>
        <w:ind w:firstLineChars="200" w:firstLine="640"/>
        <w:rPr>
          <w:rFonts w:eastAsia="仿宋_GB2312"/>
          <w:sz w:val="32"/>
          <w:szCs w:val="32"/>
        </w:rPr>
      </w:pPr>
      <w:r w:rsidRPr="004E1F21">
        <w:rPr>
          <w:rFonts w:eastAsia="仿宋_GB2312"/>
          <w:sz w:val="32"/>
          <w:szCs w:val="32"/>
        </w:rPr>
        <w:t>1.</w:t>
      </w:r>
      <w:r w:rsidRPr="004E1F21">
        <w:rPr>
          <w:rFonts w:eastAsia="仿宋_GB2312"/>
          <w:sz w:val="32"/>
          <w:szCs w:val="32"/>
        </w:rPr>
        <w:t>感染：并发感染（如真菌、细菌和病毒等感染）为肾上腺皮质激素的主要不良反应，特别是长期或大量应用的情况下。</w:t>
      </w:r>
    </w:p>
    <w:p w:rsidR="009569FD" w:rsidRPr="004E1F21" w:rsidRDefault="009569FD" w:rsidP="009569FD">
      <w:pPr>
        <w:spacing w:line="600" w:lineRule="exact"/>
        <w:ind w:firstLineChars="200" w:firstLine="640"/>
        <w:rPr>
          <w:rFonts w:eastAsia="仿宋_GB2312"/>
          <w:sz w:val="32"/>
          <w:szCs w:val="32"/>
        </w:rPr>
      </w:pPr>
      <w:r w:rsidRPr="004E1F21">
        <w:rPr>
          <w:rFonts w:eastAsia="仿宋_GB2312"/>
          <w:sz w:val="32"/>
          <w:szCs w:val="32"/>
        </w:rPr>
        <w:t>2.</w:t>
      </w:r>
      <w:r w:rsidRPr="004E1F21">
        <w:rPr>
          <w:rFonts w:eastAsia="仿宋_GB2312"/>
          <w:sz w:val="32"/>
          <w:szCs w:val="32"/>
        </w:rPr>
        <w:t>胃肠道：胃肠道刺激（恶心、呕吐）、胰腺炎、消化性溃疡或穿孔。</w:t>
      </w:r>
    </w:p>
    <w:p w:rsidR="009569FD" w:rsidRPr="004E1F21" w:rsidRDefault="009569FD" w:rsidP="009569FD">
      <w:pPr>
        <w:spacing w:line="600" w:lineRule="exact"/>
        <w:ind w:firstLineChars="200" w:firstLine="640"/>
        <w:rPr>
          <w:rFonts w:eastAsia="仿宋_GB2312"/>
          <w:sz w:val="32"/>
          <w:szCs w:val="32"/>
        </w:rPr>
      </w:pPr>
      <w:r w:rsidRPr="004E1F21">
        <w:rPr>
          <w:rFonts w:eastAsia="仿宋_GB2312"/>
          <w:sz w:val="32"/>
          <w:szCs w:val="32"/>
        </w:rPr>
        <w:t>3.</w:t>
      </w:r>
      <w:r w:rsidRPr="004E1F21">
        <w:rPr>
          <w:rFonts w:eastAsia="仿宋_GB2312"/>
          <w:sz w:val="32"/>
          <w:szCs w:val="32"/>
        </w:rPr>
        <w:t>神经精神系统：患者可出现精神症状：欣快感、激动、失眠、谵妄、不安、定向力障碍，也可表现为抑制。精神症状易发生在患慢性消耗性疾病的人及以往有过精神不正常者。良性颅内压升高综合征。</w:t>
      </w:r>
    </w:p>
    <w:p w:rsidR="009569FD" w:rsidRPr="004E1F21" w:rsidRDefault="009569FD" w:rsidP="009569FD">
      <w:pPr>
        <w:spacing w:line="600" w:lineRule="exact"/>
        <w:ind w:firstLineChars="200" w:firstLine="640"/>
        <w:rPr>
          <w:rFonts w:eastAsia="仿宋_GB2312"/>
          <w:sz w:val="32"/>
          <w:szCs w:val="32"/>
        </w:rPr>
      </w:pPr>
      <w:r w:rsidRPr="004E1F21">
        <w:rPr>
          <w:rFonts w:eastAsia="仿宋_GB2312"/>
          <w:sz w:val="32"/>
          <w:szCs w:val="32"/>
        </w:rPr>
        <w:t>4.</w:t>
      </w:r>
      <w:r w:rsidRPr="004E1F21">
        <w:rPr>
          <w:rFonts w:eastAsia="仿宋_GB2312"/>
          <w:sz w:val="32"/>
          <w:szCs w:val="32"/>
        </w:rPr>
        <w:t>内分泌系统和水、电解质紊乱：</w:t>
      </w:r>
      <w:proofErr w:type="gramStart"/>
      <w:r w:rsidRPr="004E1F21">
        <w:rPr>
          <w:rFonts w:eastAsia="仿宋_GB2312"/>
          <w:sz w:val="32"/>
          <w:szCs w:val="32"/>
        </w:rPr>
        <w:t>医源性库欣综合征</w:t>
      </w:r>
      <w:proofErr w:type="gramEnd"/>
      <w:r w:rsidRPr="004E1F21">
        <w:rPr>
          <w:rFonts w:eastAsia="仿宋_GB2312"/>
          <w:sz w:val="32"/>
          <w:szCs w:val="32"/>
        </w:rPr>
        <w:t>面容和体态、体重增加、下肢浮肿、月经紊乱、低血钾、儿童生长受到抑制、糖耐量减退和糖尿病加重。</w:t>
      </w:r>
    </w:p>
    <w:p w:rsidR="009569FD" w:rsidRPr="004E1F21" w:rsidRDefault="009569FD" w:rsidP="009569FD">
      <w:pPr>
        <w:spacing w:line="600" w:lineRule="exact"/>
        <w:ind w:firstLineChars="200" w:firstLine="640"/>
        <w:rPr>
          <w:rFonts w:eastAsia="仿宋_GB2312"/>
          <w:spacing w:val="8"/>
          <w:sz w:val="32"/>
          <w:szCs w:val="32"/>
        </w:rPr>
      </w:pPr>
      <w:r w:rsidRPr="004E1F21">
        <w:rPr>
          <w:rFonts w:eastAsia="仿宋_GB2312"/>
          <w:sz w:val="32"/>
          <w:szCs w:val="32"/>
        </w:rPr>
        <w:t>5.</w:t>
      </w:r>
      <w:r w:rsidRPr="004E1F21">
        <w:rPr>
          <w:rFonts w:eastAsia="仿宋_GB2312"/>
          <w:sz w:val="32"/>
          <w:szCs w:val="32"/>
        </w:rPr>
        <w:t>肌肉骨骼：</w:t>
      </w:r>
      <w:r w:rsidRPr="004E1F21">
        <w:rPr>
          <w:rFonts w:eastAsia="仿宋_GB2312"/>
          <w:spacing w:val="8"/>
          <w:sz w:val="32"/>
          <w:szCs w:val="32"/>
        </w:rPr>
        <w:t>缺血性骨坏死、骨质疏松及骨折、肌无力、肌萎缩。</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lastRenderedPageBreak/>
        <w:t>6.</w:t>
      </w:r>
      <w:r w:rsidRPr="004E1F21">
        <w:rPr>
          <w:rFonts w:eastAsia="仿宋_GB2312"/>
          <w:sz w:val="32"/>
          <w:szCs w:val="32"/>
        </w:rPr>
        <w:t>局部用药部位：关节内注射后急性炎症。肌肉及皮下注射后组织萎缩造成凹陷，以及皮肤色素沉着或色素减退，肌腱断裂。</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7.</w:t>
      </w:r>
      <w:r w:rsidRPr="004E1F21">
        <w:rPr>
          <w:rFonts w:eastAsia="仿宋_GB2312"/>
          <w:sz w:val="32"/>
          <w:szCs w:val="32"/>
        </w:rPr>
        <w:t>皮肤及其附件：紫纹、创口愈合不良、痤疮、会阴区或</w:t>
      </w:r>
      <w:proofErr w:type="gramStart"/>
      <w:r w:rsidRPr="004E1F21">
        <w:rPr>
          <w:rFonts w:eastAsia="仿宋_GB2312"/>
          <w:sz w:val="32"/>
          <w:szCs w:val="32"/>
        </w:rPr>
        <w:t>肛</w:t>
      </w:r>
      <w:proofErr w:type="gramEnd"/>
      <w:r w:rsidRPr="004E1F21">
        <w:rPr>
          <w:rFonts w:eastAsia="仿宋_GB2312"/>
          <w:sz w:val="32"/>
          <w:szCs w:val="32"/>
        </w:rPr>
        <w:t>周瘙痒、发热、刺痛感。</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8.</w:t>
      </w:r>
      <w:r w:rsidRPr="004E1F21">
        <w:rPr>
          <w:rFonts w:eastAsia="仿宋_GB2312"/>
          <w:sz w:val="32"/>
          <w:szCs w:val="32"/>
        </w:rPr>
        <w:t>眼部：青光眼、白内障。</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9.</w:t>
      </w:r>
      <w:r w:rsidRPr="004E1F21">
        <w:rPr>
          <w:rFonts w:eastAsia="仿宋_GB2312"/>
          <w:sz w:val="32"/>
          <w:szCs w:val="32"/>
        </w:rPr>
        <w:t>过敏反应：表现为皮疹、瘙痒、面部潮红、心悸、发热、寒战、胸闷、呼吸困难等症状，严重者可发生过敏性休克。</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10.</w:t>
      </w:r>
      <w:r w:rsidRPr="004E1F21">
        <w:rPr>
          <w:rFonts w:eastAsia="仿宋_GB2312"/>
          <w:sz w:val="32"/>
          <w:szCs w:val="32"/>
        </w:rPr>
        <w:t>糖皮质激素停药综合征：有时患者在停药后出现头晕、</w:t>
      </w:r>
      <w:r w:rsidRPr="004E1F21">
        <w:rPr>
          <w:rFonts w:eastAsia="仿宋_GB2312"/>
          <w:spacing w:val="4"/>
          <w:sz w:val="32"/>
          <w:szCs w:val="32"/>
        </w:rPr>
        <w:t>昏厥倾向、腹痛或背痛、低热、食欲减退、恶心、呕吐、肌肉或关节疼痛、头疼、乏力、软弱，经仔细检查如能排除肾上腺皮质功能减退和原患疾病的复发，则可考虑为对糖皮质激素的依赖综合征</w:t>
      </w:r>
      <w:r w:rsidRPr="004E1F21">
        <w:rPr>
          <w:rFonts w:eastAsia="仿宋_GB2312"/>
          <w:sz w:val="32"/>
          <w:szCs w:val="32"/>
        </w:rPr>
        <w:t>。</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11.</w:t>
      </w:r>
      <w:r w:rsidRPr="004E1F21">
        <w:rPr>
          <w:rFonts w:eastAsia="仿宋_GB2312"/>
          <w:sz w:val="32"/>
          <w:szCs w:val="32"/>
        </w:rPr>
        <w:t>其他：呃逆、夏科氏关节病、肝功能异常、白细胞增多、血栓栓塞。</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【禁忌】</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1.</w:t>
      </w:r>
      <w:r w:rsidRPr="004E1F21">
        <w:rPr>
          <w:rFonts w:eastAsia="仿宋_GB2312"/>
          <w:sz w:val="32"/>
          <w:szCs w:val="32"/>
        </w:rPr>
        <w:t>对本品过敏者禁用，对肾上腺皮质激素类药物有过敏史的患者慎用。</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2.</w:t>
      </w:r>
      <w:r w:rsidRPr="004E1F21">
        <w:rPr>
          <w:rFonts w:eastAsia="仿宋_GB2312"/>
          <w:sz w:val="32"/>
          <w:szCs w:val="32"/>
        </w:rPr>
        <w:t>对辅料中含有亚硫酸盐的品种，增加</w:t>
      </w:r>
      <w:r w:rsidRPr="004E1F21">
        <w:rPr>
          <w:rFonts w:eastAsia="仿宋_GB2312"/>
          <w:sz w:val="32"/>
          <w:szCs w:val="32"/>
        </w:rPr>
        <w:t>“</w:t>
      </w:r>
      <w:r w:rsidRPr="004E1F21">
        <w:rPr>
          <w:rFonts w:eastAsia="仿宋_GB2312"/>
          <w:sz w:val="32"/>
          <w:szCs w:val="32"/>
        </w:rPr>
        <w:t>本品辅料中含有亚硫酸盐，对亚硫酸盐过敏者禁用。</w:t>
      </w:r>
      <w:r w:rsidRPr="004E1F21">
        <w:rPr>
          <w:rFonts w:eastAsia="仿宋_GB2312"/>
          <w:sz w:val="32"/>
          <w:szCs w:val="32"/>
        </w:rPr>
        <w:t>”</w:t>
      </w:r>
    </w:p>
    <w:p w:rsidR="009569FD" w:rsidRPr="004E1F21" w:rsidRDefault="009569FD" w:rsidP="009569FD">
      <w:pPr>
        <w:spacing w:line="610" w:lineRule="exact"/>
        <w:ind w:firstLineChars="200" w:firstLine="640"/>
        <w:rPr>
          <w:rFonts w:eastAsia="仿宋_GB2312"/>
          <w:spacing w:val="4"/>
          <w:sz w:val="32"/>
          <w:szCs w:val="32"/>
        </w:rPr>
      </w:pPr>
      <w:r w:rsidRPr="004E1F21">
        <w:rPr>
          <w:rFonts w:eastAsia="仿宋_GB2312"/>
          <w:sz w:val="32"/>
          <w:szCs w:val="32"/>
        </w:rPr>
        <w:t>3.</w:t>
      </w:r>
      <w:r w:rsidRPr="004E1F21">
        <w:rPr>
          <w:rFonts w:eastAsia="仿宋_GB2312"/>
          <w:sz w:val="32"/>
          <w:szCs w:val="32"/>
        </w:rPr>
        <w:t>以下</w:t>
      </w:r>
      <w:r w:rsidRPr="004E1F21">
        <w:rPr>
          <w:rFonts w:eastAsia="仿宋_GB2312"/>
          <w:spacing w:val="4"/>
          <w:sz w:val="32"/>
          <w:szCs w:val="32"/>
        </w:rPr>
        <w:t>疾病患者一般情况下不宜使用，在特殊情况下权衡利弊使用，且应注意病情恶化的可能：高血压、血栓症、心肌梗塞、胃与十二指肠溃疡、内脏手术、精神病、电解质代谢异</w:t>
      </w:r>
      <w:r w:rsidRPr="004E1F21">
        <w:rPr>
          <w:rFonts w:eastAsia="仿宋_GB2312"/>
          <w:spacing w:val="4"/>
          <w:sz w:val="32"/>
          <w:szCs w:val="32"/>
        </w:rPr>
        <w:lastRenderedPageBreak/>
        <w:t>常、青光眼。</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【注意事项】</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1.</w:t>
      </w:r>
      <w:r w:rsidRPr="004E1F21">
        <w:rPr>
          <w:rFonts w:eastAsia="仿宋_GB2312"/>
          <w:sz w:val="32"/>
          <w:szCs w:val="32"/>
        </w:rPr>
        <w:t>糖皮质激素可以诱发或加重感染，细菌性、真菌性、病毒性或寄生虫（如阿米巴病、线虫）等感染患者应慎用，如需使用必须给予适当的抗感染治疗。</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2.</w:t>
      </w:r>
      <w:r w:rsidRPr="004E1F21">
        <w:rPr>
          <w:rFonts w:eastAsia="仿宋_GB2312"/>
          <w:sz w:val="32"/>
          <w:szCs w:val="32"/>
        </w:rPr>
        <w:t>溃疡性结肠炎、憩室炎、肠吻合术后、肝硬化、肾功能不良、癫痫、偏头痛、重症肌无力、糖尿病、骨质疏松症、甲状腺功能低下患者慎用。</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3.</w:t>
      </w:r>
      <w:r w:rsidRPr="004E1F21">
        <w:rPr>
          <w:rFonts w:eastAsia="仿宋_GB2312"/>
          <w:sz w:val="32"/>
          <w:szCs w:val="32"/>
        </w:rPr>
        <w:t>长期应用本品，停药前应逐渐减量。</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4.</w:t>
      </w:r>
      <w:r w:rsidRPr="004E1F21">
        <w:rPr>
          <w:rFonts w:eastAsia="仿宋_GB2312"/>
          <w:sz w:val="32"/>
          <w:szCs w:val="32"/>
        </w:rPr>
        <w:t>运动员慎用。</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5.</w:t>
      </w:r>
      <w:r w:rsidRPr="004E1F21">
        <w:rPr>
          <w:rFonts w:eastAsia="仿宋_GB2312"/>
          <w:sz w:val="32"/>
          <w:szCs w:val="32"/>
        </w:rPr>
        <w:t>对于眼部单纯疱疹的患者，由于可能发生角膜穿孔，因而建议慎用糖皮质激素类药物。</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6.</w:t>
      </w:r>
      <w:r w:rsidRPr="004E1F21">
        <w:rPr>
          <w:rFonts w:eastAsia="仿宋_GB2312"/>
          <w:sz w:val="32"/>
          <w:szCs w:val="32"/>
        </w:rPr>
        <w:t>长期使用糖皮质激素可产生后囊下白内障和可能损伤视神经的青光眼，并可增加真菌和</w:t>
      </w:r>
      <w:proofErr w:type="gramStart"/>
      <w:r w:rsidRPr="004E1F21">
        <w:rPr>
          <w:rFonts w:eastAsia="仿宋_GB2312"/>
          <w:sz w:val="32"/>
          <w:szCs w:val="32"/>
        </w:rPr>
        <w:t>病毒继</w:t>
      </w:r>
      <w:proofErr w:type="gramEnd"/>
      <w:r w:rsidRPr="004E1F21">
        <w:rPr>
          <w:rFonts w:eastAsia="仿宋_GB2312"/>
          <w:sz w:val="32"/>
          <w:szCs w:val="32"/>
        </w:rPr>
        <w:t>发性眼部感染机会。</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7.</w:t>
      </w:r>
      <w:r w:rsidRPr="004E1F21">
        <w:rPr>
          <w:rFonts w:eastAsia="仿宋_GB2312"/>
          <w:sz w:val="32"/>
          <w:szCs w:val="32"/>
        </w:rPr>
        <w:t>关节内注射糖皮质激素，会增加关节感染的风险。</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8.</w:t>
      </w:r>
      <w:r w:rsidRPr="004E1F21">
        <w:rPr>
          <w:rFonts w:eastAsia="仿宋_GB2312"/>
          <w:sz w:val="32"/>
          <w:szCs w:val="32"/>
        </w:rPr>
        <w:t>国外有报告指出，严重神经系统损害事件（一些导致死亡）与糖皮质激素硬膜外注射有关。不良事件包括但不限于脊髓梗死，截瘫，四肢麻痹，皮质盲和中风。</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9.</w:t>
      </w:r>
      <w:r w:rsidRPr="004E1F21">
        <w:rPr>
          <w:rFonts w:eastAsia="仿宋_GB2312"/>
          <w:sz w:val="32"/>
          <w:szCs w:val="32"/>
        </w:rPr>
        <w:t>在使用本品时感染水痘或麻疹，可能加重病情，严重者会导致生命危险。在使用本品过程中，应充分予以观察和注意。</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10.</w:t>
      </w:r>
      <w:r w:rsidRPr="004E1F21">
        <w:rPr>
          <w:rFonts w:eastAsia="仿宋_GB2312"/>
          <w:sz w:val="32"/>
          <w:szCs w:val="32"/>
        </w:rPr>
        <w:t>长期、大量使用本品，或长期用药后停药</w:t>
      </w:r>
      <w:r w:rsidRPr="004E1F21">
        <w:rPr>
          <w:rFonts w:eastAsia="仿宋_GB2312"/>
          <w:sz w:val="32"/>
          <w:szCs w:val="32"/>
        </w:rPr>
        <w:t>6</w:t>
      </w:r>
      <w:r w:rsidRPr="004E1F21">
        <w:rPr>
          <w:rFonts w:eastAsia="仿宋_GB2312"/>
          <w:sz w:val="32"/>
          <w:szCs w:val="32"/>
        </w:rPr>
        <w:t>个月以内的患者，由于免疫力低下，不宜接种减毒活疫苗（如脊髓灰质炎减</w:t>
      </w:r>
      <w:r w:rsidRPr="004E1F21">
        <w:rPr>
          <w:rFonts w:eastAsia="仿宋_GB2312"/>
          <w:sz w:val="32"/>
          <w:szCs w:val="32"/>
        </w:rPr>
        <w:lastRenderedPageBreak/>
        <w:t>毒活疫苗糖丸等）。</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11.</w:t>
      </w:r>
      <w:r w:rsidRPr="004E1F21">
        <w:rPr>
          <w:rFonts w:eastAsia="仿宋_GB2312"/>
          <w:sz w:val="32"/>
          <w:szCs w:val="32"/>
        </w:rPr>
        <w:t>潜伏性结核或陈旧性结核的患者，在长期使用糖皮质激素治疗期间，应密切观察病情，必要时接受预防治疗。</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12.</w:t>
      </w:r>
      <w:r w:rsidRPr="004E1F21">
        <w:rPr>
          <w:rFonts w:eastAsia="仿宋_GB2312"/>
          <w:sz w:val="32"/>
          <w:szCs w:val="32"/>
        </w:rPr>
        <w:t>乙肝病毒携带者使用肾上腺皮质激素时，可能会使乙肝病毒增殖，引发肝炎。在本制剂给药期间及给药结束后，应当继续进行肝功能检查及肝炎病毒标志物的监测。</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【药物相互作用】</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1.</w:t>
      </w:r>
      <w:r w:rsidRPr="004E1F21">
        <w:rPr>
          <w:rFonts w:eastAsia="仿宋_GB2312"/>
          <w:sz w:val="32"/>
          <w:szCs w:val="32"/>
        </w:rPr>
        <w:t>肝药酶诱导药物如巴比妥类、利福平、利福布汀、卡马西平、苯妥英、</w:t>
      </w:r>
      <w:proofErr w:type="gramStart"/>
      <w:r w:rsidRPr="004E1F21">
        <w:rPr>
          <w:rFonts w:eastAsia="仿宋_GB2312"/>
          <w:sz w:val="32"/>
          <w:szCs w:val="32"/>
        </w:rPr>
        <w:t>扑米酮和氨鲁</w:t>
      </w:r>
      <w:proofErr w:type="gramEnd"/>
      <w:r w:rsidRPr="004E1F21">
        <w:rPr>
          <w:rFonts w:eastAsia="仿宋_GB2312"/>
          <w:sz w:val="32"/>
          <w:szCs w:val="32"/>
        </w:rPr>
        <w:t>米特可促进糖皮质激素的代谢，同时服用可能需要增加糖皮质激素的剂量。肝药酶</w:t>
      </w:r>
      <w:proofErr w:type="gramStart"/>
      <w:r w:rsidRPr="004E1F21">
        <w:rPr>
          <w:rFonts w:eastAsia="仿宋_GB2312"/>
          <w:sz w:val="32"/>
          <w:szCs w:val="32"/>
        </w:rPr>
        <w:t>抑制药物如</w:t>
      </w:r>
      <w:proofErr w:type="gramEnd"/>
      <w:r w:rsidRPr="004E1F21">
        <w:rPr>
          <w:rFonts w:eastAsia="仿宋_GB2312"/>
          <w:sz w:val="32"/>
          <w:szCs w:val="32"/>
        </w:rPr>
        <w:t>红霉素、酮康</w:t>
      </w:r>
      <w:proofErr w:type="gramStart"/>
      <w:r w:rsidRPr="004E1F21">
        <w:rPr>
          <w:rFonts w:eastAsia="仿宋_GB2312"/>
          <w:sz w:val="32"/>
          <w:szCs w:val="32"/>
        </w:rPr>
        <w:t>唑</w:t>
      </w:r>
      <w:proofErr w:type="gramEnd"/>
      <w:r w:rsidRPr="004E1F21">
        <w:rPr>
          <w:rFonts w:eastAsia="仿宋_GB2312"/>
          <w:sz w:val="32"/>
          <w:szCs w:val="32"/>
        </w:rPr>
        <w:t>可能增加糖皮质激素的血药浓度，合用时注意用量。</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2.</w:t>
      </w:r>
      <w:r w:rsidRPr="004E1F21">
        <w:rPr>
          <w:rFonts w:eastAsia="仿宋_GB2312"/>
          <w:sz w:val="32"/>
          <w:szCs w:val="32"/>
        </w:rPr>
        <w:t>同时使用糖皮质激素类药物与香豆素抗凝剂（如华法林）可增加或减弱抗凝作用，因此可能需要调整药物剂量。</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3.</w:t>
      </w:r>
      <w:r w:rsidRPr="004E1F21">
        <w:rPr>
          <w:rFonts w:eastAsia="仿宋_GB2312"/>
          <w:sz w:val="32"/>
          <w:szCs w:val="32"/>
        </w:rPr>
        <w:t>糖皮质激素与乙酰</w:t>
      </w:r>
      <w:proofErr w:type="gramStart"/>
      <w:r w:rsidRPr="004E1F21">
        <w:rPr>
          <w:rFonts w:eastAsia="仿宋_GB2312"/>
          <w:sz w:val="32"/>
          <w:szCs w:val="32"/>
        </w:rPr>
        <w:t>唑</w:t>
      </w:r>
      <w:proofErr w:type="gramEnd"/>
      <w:r w:rsidRPr="004E1F21">
        <w:rPr>
          <w:rFonts w:eastAsia="仿宋_GB2312"/>
          <w:sz w:val="32"/>
          <w:szCs w:val="32"/>
        </w:rPr>
        <w:t>胺、髓袢利尿药、</w:t>
      </w:r>
      <w:proofErr w:type="gramStart"/>
      <w:r w:rsidRPr="004E1F21">
        <w:rPr>
          <w:rFonts w:eastAsia="仿宋_GB2312"/>
          <w:sz w:val="32"/>
          <w:szCs w:val="32"/>
        </w:rPr>
        <w:t>噻嗪</w:t>
      </w:r>
      <w:proofErr w:type="gramEnd"/>
      <w:r w:rsidRPr="004E1F21">
        <w:rPr>
          <w:rFonts w:eastAsia="仿宋_GB2312"/>
          <w:sz w:val="32"/>
          <w:szCs w:val="32"/>
        </w:rPr>
        <w:t>类利尿药和甘珀酸钠合用，可加重低钾血症。同时使用糖皮质激素与强心苷有增加与低钾血症有关的心律失常或洋地黄中毒的可能。同时使用上述药品，应密切监测血钾浓度。</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4.</w:t>
      </w:r>
      <w:r w:rsidRPr="004E1F21">
        <w:rPr>
          <w:rFonts w:eastAsia="仿宋_GB2312"/>
          <w:sz w:val="32"/>
          <w:szCs w:val="32"/>
        </w:rPr>
        <w:t>糖皮质激素可减弱降血压药和口服降糖药的作用，应酌情调整剂量。</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5.</w:t>
      </w:r>
      <w:r w:rsidRPr="004E1F21">
        <w:rPr>
          <w:rFonts w:eastAsia="仿宋_GB2312"/>
          <w:sz w:val="32"/>
          <w:szCs w:val="32"/>
        </w:rPr>
        <w:t>糖皮质激素与非</w:t>
      </w:r>
      <w:proofErr w:type="gramStart"/>
      <w:r w:rsidRPr="004E1F21">
        <w:rPr>
          <w:rFonts w:eastAsia="仿宋_GB2312"/>
          <w:sz w:val="32"/>
          <w:szCs w:val="32"/>
        </w:rPr>
        <w:t>甾</w:t>
      </w:r>
      <w:proofErr w:type="gramEnd"/>
      <w:r w:rsidRPr="004E1F21">
        <w:rPr>
          <w:rFonts w:eastAsia="仿宋_GB2312"/>
          <w:sz w:val="32"/>
          <w:szCs w:val="32"/>
        </w:rPr>
        <w:t>体抗炎药同时使用可增加消化性溃疡的发生率。</w:t>
      </w:r>
    </w:p>
    <w:p w:rsidR="009569FD" w:rsidRPr="004E1F21" w:rsidRDefault="009569FD" w:rsidP="009569FD">
      <w:pPr>
        <w:spacing w:line="610" w:lineRule="exact"/>
        <w:ind w:firstLineChars="200" w:firstLine="640"/>
        <w:rPr>
          <w:rFonts w:eastAsia="仿宋_GB2312"/>
          <w:sz w:val="32"/>
          <w:szCs w:val="32"/>
        </w:rPr>
      </w:pPr>
      <w:r w:rsidRPr="004E1F21">
        <w:rPr>
          <w:rFonts w:eastAsia="仿宋_GB2312"/>
          <w:sz w:val="32"/>
          <w:szCs w:val="32"/>
        </w:rPr>
        <w:t>6.</w:t>
      </w:r>
      <w:r w:rsidRPr="004E1F21">
        <w:rPr>
          <w:rFonts w:eastAsia="仿宋_GB2312"/>
          <w:sz w:val="32"/>
          <w:szCs w:val="32"/>
        </w:rPr>
        <w:t>糖皮质激素可增加水杨酸类药物的肾清除率，合并使用时</w:t>
      </w:r>
      <w:r w:rsidRPr="004E1F21">
        <w:rPr>
          <w:rFonts w:eastAsia="仿宋_GB2312"/>
          <w:sz w:val="32"/>
          <w:szCs w:val="32"/>
        </w:rPr>
        <w:lastRenderedPageBreak/>
        <w:t>停用糖皮质激素可能导致水杨酸中毒。对于凝血酶原过少的患者，糖皮质激素与阿司匹林合并使用时应慎重。</w:t>
      </w:r>
      <w:bookmarkStart w:id="0" w:name="_GoBack"/>
      <w:bookmarkEnd w:id="0"/>
    </w:p>
    <w:p w:rsidR="00ED1741" w:rsidRPr="009569FD" w:rsidRDefault="00ED1741" w:rsidP="009569FD">
      <w:pPr>
        <w:spacing w:line="20" w:lineRule="exact"/>
        <w:rPr>
          <w:rFonts w:ascii="仿宋" w:eastAsia="仿宋" w:hAnsi="仿宋"/>
          <w:sz w:val="28"/>
          <w:szCs w:val="28"/>
        </w:rPr>
      </w:pPr>
    </w:p>
    <w:sectPr w:rsidR="00ED1741" w:rsidRPr="009569FD" w:rsidSect="004E1F21">
      <w:footerReference w:type="even" r:id="rId7"/>
      <w:footerReference w:type="default" r:id="rId8"/>
      <w:pgSz w:w="11906" w:h="16838"/>
      <w:pgMar w:top="1758" w:right="1531" w:bottom="1588"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6F8" w:rsidRDefault="00EF56F8" w:rsidP="009569FD">
      <w:r>
        <w:separator/>
      </w:r>
    </w:p>
  </w:endnote>
  <w:endnote w:type="continuationSeparator" w:id="0">
    <w:p w:rsidR="00EF56F8" w:rsidRDefault="00EF56F8" w:rsidP="00956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DA" w:rsidRPr="004E1F21" w:rsidRDefault="00CD3000">
    <w:pPr>
      <w:pStyle w:val="a4"/>
      <w:rPr>
        <w:sz w:val="28"/>
        <w:szCs w:val="28"/>
      </w:rPr>
    </w:pPr>
    <w:r w:rsidRPr="004E1F21">
      <w:rPr>
        <w:rFonts w:hint="eastAsia"/>
        <w:color w:val="FFFFFF"/>
        <w:sz w:val="28"/>
        <w:szCs w:val="28"/>
      </w:rPr>
      <w:t>—</w:t>
    </w:r>
    <w:r w:rsidRPr="004E1F21">
      <w:rPr>
        <w:rFonts w:hint="eastAsia"/>
        <w:sz w:val="28"/>
        <w:szCs w:val="28"/>
      </w:rPr>
      <w:t>—</w:t>
    </w:r>
    <w:r w:rsidRPr="004E1F21">
      <w:rPr>
        <w:rFonts w:hint="eastAsia"/>
        <w:sz w:val="28"/>
        <w:szCs w:val="28"/>
      </w:rPr>
      <w:t xml:space="preserve"> </w:t>
    </w:r>
    <w:r w:rsidRPr="004E1F21">
      <w:rPr>
        <w:sz w:val="28"/>
        <w:szCs w:val="28"/>
      </w:rPr>
      <w:fldChar w:fldCharType="begin"/>
    </w:r>
    <w:r w:rsidRPr="004E1F21">
      <w:rPr>
        <w:sz w:val="28"/>
        <w:szCs w:val="28"/>
      </w:rPr>
      <w:instrText>PAGE   \* MERGEFORMAT</w:instrText>
    </w:r>
    <w:r w:rsidRPr="004E1F21">
      <w:rPr>
        <w:sz w:val="28"/>
        <w:szCs w:val="28"/>
      </w:rPr>
      <w:fldChar w:fldCharType="separate"/>
    </w:r>
    <w:r w:rsidRPr="00530239">
      <w:rPr>
        <w:noProof/>
        <w:sz w:val="28"/>
        <w:szCs w:val="28"/>
        <w:lang w:val="zh-CN"/>
      </w:rPr>
      <w:t>8</w:t>
    </w:r>
    <w:r w:rsidRPr="004E1F21">
      <w:rPr>
        <w:sz w:val="28"/>
        <w:szCs w:val="28"/>
      </w:rPr>
      <w:fldChar w:fldCharType="end"/>
    </w:r>
    <w:r w:rsidRPr="004E1F21">
      <w:rPr>
        <w:rFonts w:hint="eastAsia"/>
        <w:sz w:val="28"/>
        <w:szCs w:val="28"/>
      </w:rPr>
      <w:t xml:space="preserve"> </w:t>
    </w:r>
    <w:r w:rsidRPr="004E1F21">
      <w:rPr>
        <w:rFonts w:hint="eastAsia"/>
        <w:sz w:val="28"/>
        <w:szCs w:val="28"/>
      </w:rPr>
      <w:t>—</w:t>
    </w:r>
  </w:p>
  <w:p w:rsidR="009A1829" w:rsidRDefault="00EF56F8" w:rsidP="004E1F21">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1DA" w:rsidRPr="004E1F21" w:rsidRDefault="00CD3000" w:rsidP="004E1F21">
    <w:pPr>
      <w:pStyle w:val="a4"/>
      <w:wordWrap w:val="0"/>
      <w:jc w:val="right"/>
      <w:rPr>
        <w:sz w:val="28"/>
        <w:szCs w:val="28"/>
      </w:rPr>
    </w:pPr>
    <w:r w:rsidRPr="004E1F21">
      <w:rPr>
        <w:rFonts w:hint="eastAsia"/>
        <w:sz w:val="28"/>
        <w:szCs w:val="28"/>
      </w:rPr>
      <w:t>—</w:t>
    </w:r>
    <w:r w:rsidRPr="004E1F21">
      <w:rPr>
        <w:rFonts w:hint="eastAsia"/>
        <w:sz w:val="28"/>
        <w:szCs w:val="28"/>
      </w:rPr>
      <w:t xml:space="preserve"> </w:t>
    </w:r>
    <w:r w:rsidRPr="004E1F21">
      <w:rPr>
        <w:sz w:val="28"/>
        <w:szCs w:val="28"/>
      </w:rPr>
      <w:fldChar w:fldCharType="begin"/>
    </w:r>
    <w:r w:rsidRPr="004E1F21">
      <w:rPr>
        <w:sz w:val="28"/>
        <w:szCs w:val="28"/>
      </w:rPr>
      <w:instrText>PAGE   \* MERGEFORMAT</w:instrText>
    </w:r>
    <w:r w:rsidRPr="004E1F21">
      <w:rPr>
        <w:sz w:val="28"/>
        <w:szCs w:val="28"/>
      </w:rPr>
      <w:fldChar w:fldCharType="separate"/>
    </w:r>
    <w:r w:rsidR="0032203F" w:rsidRPr="0032203F">
      <w:rPr>
        <w:noProof/>
        <w:sz w:val="28"/>
        <w:szCs w:val="28"/>
        <w:lang w:val="zh-CN"/>
      </w:rPr>
      <w:t>4</w:t>
    </w:r>
    <w:r w:rsidRPr="004E1F21">
      <w:rPr>
        <w:sz w:val="28"/>
        <w:szCs w:val="28"/>
      </w:rPr>
      <w:fldChar w:fldCharType="end"/>
    </w:r>
    <w:r w:rsidRPr="004E1F21">
      <w:rPr>
        <w:rFonts w:hint="eastAsia"/>
        <w:sz w:val="28"/>
        <w:szCs w:val="28"/>
      </w:rPr>
      <w:t xml:space="preserve"> </w:t>
    </w:r>
    <w:r w:rsidRPr="004E1F21">
      <w:rPr>
        <w:rFonts w:hint="eastAsia"/>
        <w:sz w:val="28"/>
        <w:szCs w:val="28"/>
      </w:rPr>
      <w:t>—</w:t>
    </w:r>
    <w:r w:rsidRPr="004E1F21">
      <w:rPr>
        <w:rFonts w:hint="eastAsia"/>
        <w:color w:val="FFFFFF"/>
        <w:sz w:val="28"/>
        <w:szCs w:val="28"/>
      </w:rPr>
      <w:t>—</w:t>
    </w:r>
  </w:p>
  <w:p w:rsidR="009A1829" w:rsidRDefault="00EF56F8" w:rsidP="009A1829">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6F8" w:rsidRDefault="00EF56F8" w:rsidP="009569FD">
      <w:r>
        <w:separator/>
      </w:r>
    </w:p>
  </w:footnote>
  <w:footnote w:type="continuationSeparator" w:id="0">
    <w:p w:rsidR="00EF56F8" w:rsidRDefault="00EF56F8" w:rsidP="009569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A57"/>
    <w:rsid w:val="0032203F"/>
    <w:rsid w:val="009569FD"/>
    <w:rsid w:val="00CD3000"/>
    <w:rsid w:val="00D52A57"/>
    <w:rsid w:val="00ED1741"/>
    <w:rsid w:val="00EF56F8"/>
    <w:rsid w:val="00F73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9F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569F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569FD"/>
    <w:rPr>
      <w:sz w:val="18"/>
      <w:szCs w:val="18"/>
    </w:rPr>
  </w:style>
  <w:style w:type="paragraph" w:styleId="a4">
    <w:name w:val="footer"/>
    <w:basedOn w:val="a"/>
    <w:link w:val="Char0"/>
    <w:uiPriority w:val="99"/>
    <w:unhideWhenUsed/>
    <w:rsid w:val="009569F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569FD"/>
    <w:rPr>
      <w:sz w:val="18"/>
      <w:szCs w:val="18"/>
    </w:rPr>
  </w:style>
  <w:style w:type="paragraph" w:styleId="a5">
    <w:name w:val="Normal (Web)"/>
    <w:basedOn w:val="a"/>
    <w:rsid w:val="009569FD"/>
    <w:pPr>
      <w:widowControl/>
      <w:spacing w:before="100" w:beforeAutospacing="1" w:after="100" w:afterAutospacing="1"/>
      <w:jc w:val="left"/>
    </w:pPr>
    <w:rPr>
      <w:rFonts w:ascii="宋体" w:hAnsi="宋体"/>
      <w:kern w:val="0"/>
      <w:sz w:val="24"/>
    </w:rPr>
  </w:style>
  <w:style w:type="paragraph" w:styleId="a6">
    <w:name w:val="Balloon Text"/>
    <w:basedOn w:val="a"/>
    <w:link w:val="Char1"/>
    <w:uiPriority w:val="99"/>
    <w:semiHidden/>
    <w:unhideWhenUsed/>
    <w:rsid w:val="009569FD"/>
    <w:rPr>
      <w:sz w:val="18"/>
      <w:szCs w:val="18"/>
    </w:rPr>
  </w:style>
  <w:style w:type="character" w:customStyle="1" w:styleId="Char1">
    <w:name w:val="批注框文本 Char"/>
    <w:basedOn w:val="a0"/>
    <w:link w:val="a6"/>
    <w:uiPriority w:val="99"/>
    <w:semiHidden/>
    <w:rsid w:val="009569F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9F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569F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569FD"/>
    <w:rPr>
      <w:sz w:val="18"/>
      <w:szCs w:val="18"/>
    </w:rPr>
  </w:style>
  <w:style w:type="paragraph" w:styleId="a4">
    <w:name w:val="footer"/>
    <w:basedOn w:val="a"/>
    <w:link w:val="Char0"/>
    <w:uiPriority w:val="99"/>
    <w:unhideWhenUsed/>
    <w:rsid w:val="009569F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569FD"/>
    <w:rPr>
      <w:sz w:val="18"/>
      <w:szCs w:val="18"/>
    </w:rPr>
  </w:style>
  <w:style w:type="paragraph" w:styleId="a5">
    <w:name w:val="Normal (Web)"/>
    <w:basedOn w:val="a"/>
    <w:rsid w:val="009569FD"/>
    <w:pPr>
      <w:widowControl/>
      <w:spacing w:before="100" w:beforeAutospacing="1" w:after="100" w:afterAutospacing="1"/>
      <w:jc w:val="left"/>
    </w:pPr>
    <w:rPr>
      <w:rFonts w:ascii="宋体" w:hAnsi="宋体"/>
      <w:kern w:val="0"/>
      <w:sz w:val="24"/>
    </w:rPr>
  </w:style>
  <w:style w:type="paragraph" w:styleId="a6">
    <w:name w:val="Balloon Text"/>
    <w:basedOn w:val="a"/>
    <w:link w:val="Char1"/>
    <w:uiPriority w:val="99"/>
    <w:semiHidden/>
    <w:unhideWhenUsed/>
    <w:rsid w:val="009569FD"/>
    <w:rPr>
      <w:sz w:val="18"/>
      <w:szCs w:val="18"/>
    </w:rPr>
  </w:style>
  <w:style w:type="character" w:customStyle="1" w:styleId="Char1">
    <w:name w:val="批注框文本 Char"/>
    <w:basedOn w:val="a0"/>
    <w:link w:val="a6"/>
    <w:uiPriority w:val="99"/>
    <w:semiHidden/>
    <w:rsid w:val="009569F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284</Words>
  <Characters>1623</Characters>
  <Application>Microsoft Office Word</Application>
  <DocSecurity>0</DocSecurity>
  <Lines>13</Lines>
  <Paragraphs>3</Paragraphs>
  <ScaleCrop>false</ScaleCrop>
  <Company>CFDA</Company>
  <LinksUpToDate>false</LinksUpToDate>
  <CharactersWithSpaces>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张京梅</dc:creator>
  <cp:lastModifiedBy>张京梅</cp:lastModifiedBy>
  <cp:revision>3</cp:revision>
  <dcterms:created xsi:type="dcterms:W3CDTF">2015-11-24T08:39:00Z</dcterms:created>
  <dcterms:modified xsi:type="dcterms:W3CDTF">2015-11-24T08:39:00Z</dcterms:modified>
</cp:coreProperties>
</file>