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AA1" w:rsidRPr="004A48F4" w:rsidRDefault="00C74AA1" w:rsidP="00C74AA1">
      <w:pPr>
        <w:rPr>
          <w:rFonts w:ascii="黑体" w:eastAsia="黑体" w:hAnsi="华文仿宋" w:hint="eastAsia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</w:p>
    <w:p w:rsidR="00C74AA1" w:rsidRPr="00347488" w:rsidRDefault="00C74AA1" w:rsidP="00C74AA1">
      <w:pPr>
        <w:rPr>
          <w:rFonts w:ascii="黑体" w:eastAsia="黑体" w:hAnsi="华文仿宋" w:hint="eastAsia"/>
          <w:sz w:val="32"/>
          <w:szCs w:val="32"/>
        </w:rPr>
      </w:pPr>
    </w:p>
    <w:p w:rsidR="00C74AA1" w:rsidRPr="00347488" w:rsidRDefault="00C74AA1" w:rsidP="00C74AA1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347488">
        <w:rPr>
          <w:rFonts w:ascii="方正小标宋简体" w:eastAsia="方正小标宋简体" w:hAnsi="仿宋" w:hint="eastAsia"/>
          <w:sz w:val="44"/>
          <w:szCs w:val="44"/>
        </w:rPr>
        <w:t>茵</w:t>
      </w:r>
      <w:proofErr w:type="gramStart"/>
      <w:r w:rsidRPr="00347488">
        <w:rPr>
          <w:rFonts w:ascii="方正小标宋简体" w:eastAsia="方正小标宋简体" w:hAnsi="仿宋" w:hint="eastAsia"/>
          <w:sz w:val="44"/>
          <w:szCs w:val="44"/>
        </w:rPr>
        <w:t>栀</w:t>
      </w:r>
      <w:proofErr w:type="gramEnd"/>
      <w:r w:rsidRPr="00347488">
        <w:rPr>
          <w:rFonts w:ascii="方正小标宋简体" w:eastAsia="方正小标宋简体" w:hAnsi="仿宋" w:hint="eastAsia"/>
          <w:sz w:val="44"/>
          <w:szCs w:val="44"/>
        </w:rPr>
        <w:t>黄注射液说明书修订要求</w:t>
      </w:r>
    </w:p>
    <w:p w:rsidR="00C74AA1" w:rsidRPr="00347488" w:rsidRDefault="00C74AA1" w:rsidP="00C74AA1">
      <w:pPr>
        <w:spacing w:line="400" w:lineRule="exact"/>
        <w:rPr>
          <w:rFonts w:hint="eastAsia"/>
        </w:rPr>
      </w:pPr>
    </w:p>
    <w:p w:rsidR="00C74AA1" w:rsidRPr="00E61F6A" w:rsidRDefault="00C74AA1" w:rsidP="00C74AA1">
      <w:pPr>
        <w:spacing w:line="64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E61F6A">
        <w:rPr>
          <w:rFonts w:ascii="黑体" w:eastAsia="黑体" w:hAnsi="黑体"/>
          <w:sz w:val="32"/>
          <w:szCs w:val="32"/>
        </w:rPr>
        <w:t>一、</w:t>
      </w:r>
      <w:r w:rsidRPr="00E61F6A">
        <w:rPr>
          <w:rFonts w:ascii="黑体" w:eastAsia="黑体" w:hAnsi="黑体" w:hint="eastAsia"/>
          <w:sz w:val="32"/>
          <w:szCs w:val="32"/>
        </w:rPr>
        <w:t>应增加警示语，内容如下：</w:t>
      </w:r>
    </w:p>
    <w:p w:rsidR="00C74AA1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362BA0">
        <w:rPr>
          <w:rFonts w:eastAsia="仿宋_GB2312" w:hint="eastAsia"/>
          <w:sz w:val="32"/>
          <w:szCs w:val="32"/>
        </w:rPr>
        <w:t>警示语：本品</w:t>
      </w:r>
      <w:r>
        <w:rPr>
          <w:rFonts w:eastAsia="仿宋_GB2312" w:hint="eastAsia"/>
          <w:sz w:val="32"/>
          <w:szCs w:val="32"/>
        </w:rPr>
        <w:t>不</w:t>
      </w:r>
      <w:r w:rsidRPr="00362BA0">
        <w:rPr>
          <w:rFonts w:eastAsia="仿宋_GB2312" w:hint="eastAsia"/>
          <w:sz w:val="32"/>
          <w:szCs w:val="32"/>
        </w:rPr>
        <w:t>良反应包括过敏性休克，应在有</w:t>
      </w:r>
      <w:r>
        <w:rPr>
          <w:rFonts w:eastAsia="仿宋_GB2312" w:hint="eastAsia"/>
          <w:sz w:val="32"/>
          <w:szCs w:val="32"/>
        </w:rPr>
        <w:t>抢</w:t>
      </w:r>
      <w:r w:rsidRPr="00362BA0">
        <w:rPr>
          <w:rFonts w:eastAsia="仿宋_GB2312" w:hint="eastAsia"/>
          <w:sz w:val="32"/>
          <w:szCs w:val="32"/>
        </w:rPr>
        <w:t>救条件的医疗机构使用，使用者应接受过过敏</w:t>
      </w:r>
      <w:r>
        <w:rPr>
          <w:rFonts w:eastAsia="仿宋_GB2312" w:hint="eastAsia"/>
          <w:sz w:val="32"/>
          <w:szCs w:val="32"/>
        </w:rPr>
        <w:t>性</w:t>
      </w:r>
      <w:r w:rsidRPr="00362BA0">
        <w:rPr>
          <w:rFonts w:eastAsia="仿宋_GB2312" w:hint="eastAsia"/>
          <w:sz w:val="32"/>
          <w:szCs w:val="32"/>
        </w:rPr>
        <w:t>休克抢救培训</w:t>
      </w:r>
      <w:r>
        <w:rPr>
          <w:rFonts w:eastAsia="仿宋_GB2312" w:hint="eastAsia"/>
          <w:sz w:val="32"/>
          <w:szCs w:val="32"/>
        </w:rPr>
        <w:t>，</w:t>
      </w:r>
      <w:r w:rsidRPr="00362BA0">
        <w:rPr>
          <w:rFonts w:eastAsia="仿宋_GB2312" w:hint="eastAsia"/>
          <w:sz w:val="32"/>
          <w:szCs w:val="32"/>
        </w:rPr>
        <w:t>用药后出现过敏反应或其他严重</w:t>
      </w:r>
      <w:r>
        <w:rPr>
          <w:rFonts w:eastAsia="仿宋_GB2312" w:hint="eastAsia"/>
          <w:sz w:val="32"/>
          <w:szCs w:val="32"/>
        </w:rPr>
        <w:t>不</w:t>
      </w:r>
      <w:r w:rsidRPr="00362BA0">
        <w:rPr>
          <w:rFonts w:eastAsia="仿宋_GB2312" w:hint="eastAsia"/>
          <w:sz w:val="32"/>
          <w:szCs w:val="32"/>
        </w:rPr>
        <w:t>良反应须立即停药并及时救治。</w:t>
      </w:r>
    </w:p>
    <w:p w:rsidR="00C74AA1" w:rsidRPr="00E61F6A" w:rsidRDefault="00C74AA1" w:rsidP="00C74AA1">
      <w:pPr>
        <w:spacing w:line="6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61F6A">
        <w:rPr>
          <w:rFonts w:ascii="黑体" w:eastAsia="黑体" w:hAnsi="黑体" w:hint="eastAsia"/>
          <w:sz w:val="32"/>
          <w:szCs w:val="32"/>
        </w:rPr>
        <w:t>二、</w:t>
      </w:r>
      <w:r w:rsidRPr="00E61F6A">
        <w:rPr>
          <w:rFonts w:ascii="黑体" w:eastAsia="黑体" w:hAnsi="黑体"/>
          <w:sz w:val="32"/>
          <w:szCs w:val="32"/>
        </w:rPr>
        <w:t>【不良反应】项应当包括</w:t>
      </w:r>
      <w:r w:rsidRPr="00E61F6A">
        <w:rPr>
          <w:rFonts w:ascii="黑体" w:eastAsia="黑体" w:hAnsi="黑体" w:hint="eastAsia"/>
          <w:sz w:val="32"/>
          <w:szCs w:val="32"/>
        </w:rPr>
        <w:t>：</w:t>
      </w:r>
    </w:p>
    <w:p w:rsidR="00C74AA1" w:rsidRPr="00347488" w:rsidRDefault="00C74AA1" w:rsidP="00C74AA1">
      <w:pPr>
        <w:spacing w:line="640" w:lineRule="exact"/>
        <w:ind w:firstLineChars="200" w:firstLine="640"/>
        <w:rPr>
          <w:rFonts w:eastAsia="仿宋_GB2312"/>
          <w:sz w:val="32"/>
          <w:szCs w:val="32"/>
        </w:rPr>
      </w:pPr>
      <w:r w:rsidRPr="00347488">
        <w:rPr>
          <w:rFonts w:eastAsia="仿宋_GB2312"/>
          <w:sz w:val="32"/>
          <w:szCs w:val="32"/>
        </w:rPr>
        <w:t>1</w:t>
      </w:r>
      <w:r w:rsidRPr="00347488"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过敏反应：潮红、皮疹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瘙痒、过敏性皮炎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血管神经性水肿、呼吸困难、心悸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紫</w:t>
      </w:r>
      <w:proofErr w:type="gramStart"/>
      <w:r w:rsidRPr="000E76E7">
        <w:rPr>
          <w:rFonts w:eastAsia="仿宋_GB2312" w:hint="eastAsia"/>
          <w:sz w:val="32"/>
          <w:szCs w:val="32"/>
        </w:rPr>
        <w:t>绀</w:t>
      </w:r>
      <w:proofErr w:type="gramEnd"/>
      <w:r w:rsidRPr="000E76E7">
        <w:rPr>
          <w:rFonts w:eastAsia="仿宋_GB2312" w:hint="eastAsia"/>
          <w:sz w:val="32"/>
          <w:szCs w:val="32"/>
        </w:rPr>
        <w:t>、血压</w:t>
      </w:r>
      <w:r>
        <w:rPr>
          <w:rFonts w:eastAsia="仿宋_GB2312" w:hint="eastAsia"/>
          <w:sz w:val="32"/>
          <w:szCs w:val="32"/>
        </w:rPr>
        <w:t>下降</w:t>
      </w:r>
      <w:r w:rsidRPr="000E76E7">
        <w:rPr>
          <w:rFonts w:eastAsia="仿宋_GB2312" w:hint="eastAsia"/>
          <w:sz w:val="32"/>
          <w:szCs w:val="32"/>
        </w:rPr>
        <w:t>、喉水肿、过敏性休克等。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347488">
        <w:rPr>
          <w:rFonts w:eastAsia="仿宋_GB2312"/>
          <w:sz w:val="32"/>
          <w:szCs w:val="32"/>
        </w:rPr>
        <w:t>2</w:t>
      </w:r>
      <w:r w:rsidRPr="00347488"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全身性损害：畏寒、寒战、发热、高热、疼痛、不适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水肿、乏力、多汗、面色苍白等。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0E76E7"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消化系统：恶心、呕吐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腹泻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腹痛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胃肠胀气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胃不适等</w:t>
      </w:r>
      <w:r>
        <w:rPr>
          <w:rFonts w:eastAsia="仿宋_GB2312" w:hint="eastAsia"/>
          <w:sz w:val="32"/>
          <w:szCs w:val="32"/>
        </w:rPr>
        <w:t>，</w:t>
      </w:r>
      <w:r w:rsidRPr="000E76E7">
        <w:rPr>
          <w:rFonts w:eastAsia="仿宋_GB2312" w:hint="eastAsia"/>
          <w:sz w:val="32"/>
          <w:szCs w:val="32"/>
        </w:rPr>
        <w:t>有胃肠道出血个案报告。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0E76E7"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呼吸系统</w:t>
      </w:r>
      <w:r>
        <w:rPr>
          <w:rFonts w:eastAsia="仿宋_GB2312" w:hint="eastAsia"/>
          <w:sz w:val="32"/>
          <w:szCs w:val="32"/>
        </w:rPr>
        <w:t>：呼吸困</w:t>
      </w:r>
      <w:r w:rsidRPr="000E76E7">
        <w:rPr>
          <w:rFonts w:eastAsia="仿宋_GB2312" w:hint="eastAsia"/>
          <w:sz w:val="32"/>
          <w:szCs w:val="32"/>
        </w:rPr>
        <w:t>难、呼吸急促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咳嗽等。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0E76E7">
        <w:rPr>
          <w:rFonts w:eastAsia="仿宋_GB2312" w:hint="eastAsia"/>
          <w:sz w:val="32"/>
          <w:szCs w:val="32"/>
        </w:rPr>
        <w:t>5</w:t>
      </w:r>
      <w:r w:rsidRPr="000E76E7">
        <w:rPr>
          <w:rFonts w:eastAsia="仿宋_GB2312" w:hint="eastAsia"/>
          <w:sz w:val="32"/>
          <w:szCs w:val="32"/>
        </w:rPr>
        <w:t>．心血管系统：心悸、胸闷等。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0E76E7">
        <w:rPr>
          <w:rFonts w:eastAsia="仿宋_GB2312" w:hint="eastAsia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精神及神经系绕：头晕、头痛、抽搐等。</w:t>
      </w:r>
    </w:p>
    <w:p w:rsidR="00C74AA1" w:rsidRPr="000E76E7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0E76E7">
        <w:rPr>
          <w:rFonts w:eastAsia="仿宋_GB2312" w:hint="eastAsia"/>
          <w:sz w:val="32"/>
          <w:szCs w:val="32"/>
        </w:rPr>
        <w:t>7</w:t>
      </w:r>
      <w:r w:rsidRPr="000E76E7">
        <w:rPr>
          <w:rFonts w:eastAsia="仿宋_GB2312" w:hint="eastAsia"/>
          <w:sz w:val="32"/>
          <w:szCs w:val="32"/>
        </w:rPr>
        <w:t>．</w:t>
      </w:r>
      <w:r>
        <w:rPr>
          <w:rFonts w:eastAsia="仿宋_GB2312" w:hint="eastAsia"/>
          <w:sz w:val="32"/>
          <w:szCs w:val="32"/>
        </w:rPr>
        <w:t>用药部位：</w:t>
      </w:r>
      <w:r w:rsidRPr="000E76E7">
        <w:rPr>
          <w:rFonts w:eastAsia="仿宋_GB2312" w:hint="eastAsia"/>
          <w:sz w:val="32"/>
          <w:szCs w:val="32"/>
        </w:rPr>
        <w:t>皮疹、瘙痒、静脉</w:t>
      </w:r>
      <w:r>
        <w:rPr>
          <w:rFonts w:eastAsia="仿宋_GB2312" w:hint="eastAsia"/>
          <w:sz w:val="32"/>
          <w:szCs w:val="32"/>
        </w:rPr>
        <w:t>炎</w:t>
      </w:r>
      <w:r w:rsidRPr="000E76E7">
        <w:rPr>
          <w:rFonts w:eastAsia="仿宋_GB2312" w:hint="eastAsia"/>
          <w:sz w:val="32"/>
          <w:szCs w:val="32"/>
        </w:rPr>
        <w:t>、局部麻木等。</w:t>
      </w:r>
    </w:p>
    <w:p w:rsidR="00C74AA1" w:rsidRPr="00347488" w:rsidRDefault="00C74AA1" w:rsidP="00C74AA1">
      <w:pPr>
        <w:spacing w:line="6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．</w:t>
      </w:r>
      <w:r w:rsidRPr="000E76E7">
        <w:rPr>
          <w:rFonts w:eastAsia="仿宋_GB2312" w:hint="eastAsia"/>
          <w:sz w:val="32"/>
          <w:szCs w:val="32"/>
        </w:rPr>
        <w:t>其他：有溶血反应、黄疸一过性加重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中毒性表皮坏</w:t>
      </w:r>
      <w:r w:rsidRPr="000E76E7">
        <w:rPr>
          <w:rFonts w:eastAsia="仿宋_GB2312" w:hint="eastAsia"/>
          <w:sz w:val="32"/>
          <w:szCs w:val="32"/>
        </w:rPr>
        <w:lastRenderedPageBreak/>
        <w:t>死松解症</w:t>
      </w:r>
      <w:r>
        <w:rPr>
          <w:rFonts w:eastAsia="仿宋_GB2312" w:hint="eastAsia"/>
          <w:sz w:val="32"/>
          <w:szCs w:val="32"/>
        </w:rPr>
        <w:t>、</w:t>
      </w:r>
      <w:r w:rsidRPr="000E76E7">
        <w:rPr>
          <w:rFonts w:eastAsia="仿宋_GB2312" w:hint="eastAsia"/>
          <w:sz w:val="32"/>
          <w:szCs w:val="32"/>
        </w:rPr>
        <w:t>肾功能异常个案报告。</w:t>
      </w:r>
    </w:p>
    <w:p w:rsidR="00C74AA1" w:rsidRPr="00E61F6A" w:rsidRDefault="00C74AA1" w:rsidP="00C74AA1">
      <w:pPr>
        <w:spacing w:line="6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61F6A">
        <w:rPr>
          <w:rFonts w:ascii="黑体" w:eastAsia="黑体" w:hAnsi="黑体" w:hint="eastAsia"/>
          <w:sz w:val="32"/>
          <w:szCs w:val="32"/>
        </w:rPr>
        <w:t>三</w:t>
      </w:r>
      <w:r w:rsidRPr="00E61F6A">
        <w:rPr>
          <w:rFonts w:ascii="黑体" w:eastAsia="黑体" w:hAnsi="黑体"/>
          <w:sz w:val="32"/>
          <w:szCs w:val="32"/>
        </w:rPr>
        <w:t>、【禁忌】项应当包括</w:t>
      </w:r>
      <w:r w:rsidRPr="00E61F6A">
        <w:rPr>
          <w:rFonts w:ascii="黑体" w:eastAsia="黑体" w:hAnsi="黑体" w:hint="eastAsia"/>
          <w:sz w:val="32"/>
          <w:szCs w:val="32"/>
        </w:rPr>
        <w:t>：</w:t>
      </w:r>
    </w:p>
    <w:p w:rsidR="00C74AA1" w:rsidRPr="009C3E5F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C3E5F">
        <w:rPr>
          <w:rFonts w:eastAsia="仿宋_GB2312" w:hint="eastAsia"/>
          <w:sz w:val="32"/>
          <w:szCs w:val="32"/>
        </w:rPr>
        <w:t>1</w:t>
      </w:r>
      <w:r w:rsidRPr="009C3E5F">
        <w:rPr>
          <w:rFonts w:eastAsia="仿宋_GB2312" w:hint="eastAsia"/>
          <w:sz w:val="32"/>
          <w:szCs w:val="32"/>
        </w:rPr>
        <w:t>．对本品或</w:t>
      </w:r>
      <w:r>
        <w:rPr>
          <w:rFonts w:eastAsia="仿宋_GB2312" w:hint="eastAsia"/>
          <w:sz w:val="32"/>
          <w:szCs w:val="32"/>
        </w:rPr>
        <w:t>含</w:t>
      </w:r>
      <w:r w:rsidRPr="009C3E5F">
        <w:rPr>
          <w:rFonts w:eastAsia="仿宋_GB2312" w:hint="eastAsia"/>
          <w:sz w:val="32"/>
          <w:szCs w:val="32"/>
        </w:rPr>
        <w:t>有茵陈</w:t>
      </w:r>
      <w:r>
        <w:rPr>
          <w:rFonts w:eastAsia="仿宋_GB2312" w:hint="eastAsia"/>
          <w:sz w:val="32"/>
          <w:szCs w:val="32"/>
        </w:rPr>
        <w:t>、</w:t>
      </w:r>
      <w:r w:rsidRPr="009C3E5F">
        <w:rPr>
          <w:rFonts w:eastAsia="仿宋_GB2312" w:hint="eastAsia"/>
          <w:sz w:val="32"/>
          <w:szCs w:val="32"/>
        </w:rPr>
        <w:t>栀子、黄芩、金银花制剂及成</w:t>
      </w:r>
      <w:r>
        <w:rPr>
          <w:rFonts w:eastAsia="仿宋_GB2312" w:hint="eastAsia"/>
          <w:sz w:val="32"/>
          <w:szCs w:val="32"/>
        </w:rPr>
        <w:t>份</w:t>
      </w:r>
      <w:r w:rsidRPr="009C3E5F">
        <w:rPr>
          <w:rFonts w:eastAsia="仿宋_GB2312" w:hint="eastAsia"/>
          <w:sz w:val="32"/>
          <w:szCs w:val="32"/>
        </w:rPr>
        <w:t>中所列辅料过敏或有严重不良反应病史者禁用。</w:t>
      </w:r>
    </w:p>
    <w:p w:rsidR="00C74AA1" w:rsidRPr="009C3E5F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C3E5F">
        <w:rPr>
          <w:rFonts w:eastAsia="仿宋_GB2312" w:hint="eastAsia"/>
          <w:sz w:val="32"/>
          <w:szCs w:val="32"/>
        </w:rPr>
        <w:t>2</w:t>
      </w:r>
      <w:r w:rsidRPr="009C3E5F">
        <w:rPr>
          <w:rFonts w:eastAsia="仿宋_GB2312" w:hint="eastAsia"/>
          <w:sz w:val="32"/>
          <w:szCs w:val="32"/>
        </w:rPr>
        <w:t>．新生儿、婴幼儿禁用。</w:t>
      </w:r>
    </w:p>
    <w:p w:rsidR="00C74AA1" w:rsidRDefault="00C74AA1" w:rsidP="00C74AA1">
      <w:pPr>
        <w:spacing w:line="64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C3E5F"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</w:t>
      </w:r>
      <w:r w:rsidRPr="009C3E5F">
        <w:rPr>
          <w:rFonts w:eastAsia="仿宋_GB2312" w:hint="eastAsia"/>
          <w:sz w:val="32"/>
          <w:szCs w:val="32"/>
        </w:rPr>
        <w:t>孕妇禁用。</w:t>
      </w:r>
    </w:p>
    <w:p w:rsidR="00C74AA1" w:rsidRPr="00E61F6A" w:rsidRDefault="00C74AA1" w:rsidP="00C74AA1">
      <w:pPr>
        <w:spacing w:line="6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61F6A">
        <w:rPr>
          <w:rFonts w:ascii="黑体" w:eastAsia="黑体" w:hAnsi="黑体" w:hint="eastAsia"/>
          <w:sz w:val="32"/>
          <w:szCs w:val="32"/>
        </w:rPr>
        <w:t>四</w:t>
      </w:r>
      <w:r w:rsidRPr="00E61F6A">
        <w:rPr>
          <w:rFonts w:ascii="黑体" w:eastAsia="黑体" w:hAnsi="黑体"/>
          <w:sz w:val="32"/>
          <w:szCs w:val="32"/>
        </w:rPr>
        <w:t>、【注意事项】项应当包括:</w:t>
      </w:r>
    </w:p>
    <w:p w:rsidR="00C74AA1" w:rsidRPr="00E30740" w:rsidRDefault="00C74AA1" w:rsidP="00C74AA1">
      <w:pPr>
        <w:spacing w:line="640" w:lineRule="exact"/>
        <w:ind w:firstLineChars="200" w:firstLine="640"/>
        <w:rPr>
          <w:rFonts w:eastAsia="仿宋_GB2312" w:hint="eastAsia"/>
          <w:spacing w:val="-4"/>
          <w:sz w:val="32"/>
          <w:szCs w:val="32"/>
        </w:rPr>
      </w:pPr>
      <w:r w:rsidRPr="00347488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本品不良反应包括过敏性休克，应在有抢救条件的医疗机构使用，使用者应接受过过敏性休克抢救培训，用药后出现过敏反应或其他严重不良反应须立即停药并及时救治</w:t>
      </w:r>
      <w:r>
        <w:rPr>
          <w:rFonts w:eastAsia="仿宋_GB2312" w:hint="eastAsia"/>
          <w:spacing w:val="-4"/>
          <w:sz w:val="32"/>
          <w:szCs w:val="32"/>
        </w:rPr>
        <w:t>。</w:t>
      </w:r>
    </w:p>
    <w:p w:rsidR="00C74AA1" w:rsidRPr="00E30740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2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辨证施药，严格</w:t>
      </w:r>
      <w:r>
        <w:rPr>
          <w:rFonts w:eastAsia="仿宋_GB2312" w:hint="eastAsia"/>
          <w:spacing w:val="-4"/>
          <w:sz w:val="32"/>
          <w:szCs w:val="32"/>
        </w:rPr>
        <w:t>掌握功能</w:t>
      </w:r>
      <w:r w:rsidRPr="00E30740">
        <w:rPr>
          <w:rFonts w:eastAsia="仿宋_GB2312" w:hint="eastAsia"/>
          <w:spacing w:val="-4"/>
          <w:sz w:val="32"/>
          <w:szCs w:val="32"/>
        </w:rPr>
        <w:t>主治，禁止超功能主治用药。</w:t>
      </w:r>
    </w:p>
    <w:p w:rsidR="00C74AA1" w:rsidRPr="00E30740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3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严格掌握用法用量。</w:t>
      </w:r>
      <w:r>
        <w:rPr>
          <w:rFonts w:eastAsia="仿宋_GB2312" w:hint="eastAsia"/>
          <w:spacing w:val="-4"/>
          <w:sz w:val="32"/>
          <w:szCs w:val="32"/>
        </w:rPr>
        <w:t>按</w:t>
      </w:r>
      <w:r w:rsidRPr="00E30740">
        <w:rPr>
          <w:rFonts w:eastAsia="仿宋_GB2312" w:hint="eastAsia"/>
          <w:spacing w:val="-4"/>
          <w:sz w:val="32"/>
          <w:szCs w:val="32"/>
        </w:rPr>
        <w:t>照药品说明书推荐剂量和溶媒使用药品。不超剂量</w:t>
      </w:r>
      <w:r>
        <w:rPr>
          <w:rFonts w:eastAsia="仿宋_GB2312" w:hint="eastAsia"/>
          <w:spacing w:val="-4"/>
          <w:sz w:val="32"/>
          <w:szCs w:val="32"/>
        </w:rPr>
        <w:t>、</w:t>
      </w:r>
      <w:r w:rsidRPr="00E30740">
        <w:rPr>
          <w:rFonts w:eastAsia="仿宋_GB2312" w:hint="eastAsia"/>
          <w:spacing w:val="-4"/>
          <w:sz w:val="32"/>
          <w:szCs w:val="32"/>
        </w:rPr>
        <w:t>过快滴注和长期连续用药。</w:t>
      </w:r>
    </w:p>
    <w:p w:rsidR="00C74AA1" w:rsidRPr="00E30740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4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本品保存不当可能</w:t>
      </w:r>
      <w:r>
        <w:rPr>
          <w:rFonts w:eastAsia="仿宋_GB2312" w:hint="eastAsia"/>
          <w:spacing w:val="-4"/>
          <w:sz w:val="32"/>
          <w:szCs w:val="32"/>
        </w:rPr>
        <w:t>会</w:t>
      </w:r>
      <w:r w:rsidRPr="00E30740">
        <w:rPr>
          <w:rFonts w:eastAsia="仿宋_GB2312" w:hint="eastAsia"/>
          <w:spacing w:val="-4"/>
          <w:sz w:val="32"/>
          <w:szCs w:val="32"/>
        </w:rPr>
        <w:t>影响药品质量</w:t>
      </w:r>
      <w:r>
        <w:rPr>
          <w:rFonts w:eastAsia="仿宋_GB2312" w:hint="eastAsia"/>
          <w:spacing w:val="-4"/>
          <w:sz w:val="32"/>
          <w:szCs w:val="32"/>
        </w:rPr>
        <w:t>；</w:t>
      </w:r>
      <w:r w:rsidRPr="00E30740">
        <w:rPr>
          <w:rFonts w:eastAsia="仿宋_GB2312" w:hint="eastAsia"/>
          <w:spacing w:val="-4"/>
          <w:sz w:val="32"/>
          <w:szCs w:val="32"/>
        </w:rPr>
        <w:t>用药前、配制后及使用过程中应认真检查本品及滴注液</w:t>
      </w:r>
      <w:r>
        <w:rPr>
          <w:rFonts w:eastAsia="仿宋_GB2312" w:hint="eastAsia"/>
          <w:spacing w:val="-4"/>
          <w:sz w:val="32"/>
          <w:szCs w:val="32"/>
        </w:rPr>
        <w:t>，</w:t>
      </w:r>
      <w:r w:rsidRPr="00E30740">
        <w:rPr>
          <w:rFonts w:eastAsia="仿宋_GB2312" w:hint="eastAsia"/>
          <w:spacing w:val="-4"/>
          <w:sz w:val="32"/>
          <w:szCs w:val="32"/>
        </w:rPr>
        <w:t>发现药液出现浑浊</w:t>
      </w:r>
      <w:r>
        <w:rPr>
          <w:rFonts w:eastAsia="仿宋_GB2312" w:hint="eastAsia"/>
          <w:spacing w:val="-4"/>
          <w:sz w:val="32"/>
          <w:szCs w:val="32"/>
        </w:rPr>
        <w:t>、</w:t>
      </w:r>
      <w:r w:rsidRPr="00E30740">
        <w:rPr>
          <w:rFonts w:eastAsia="仿宋_GB2312" w:hint="eastAsia"/>
          <w:spacing w:val="-4"/>
          <w:sz w:val="32"/>
          <w:szCs w:val="32"/>
        </w:rPr>
        <w:t>沉淀、变色、结晶等药物性状改变以及瓶身有漏气、裂纹等现象时，均不得使用。</w:t>
      </w:r>
    </w:p>
    <w:p w:rsidR="00C74AA1" w:rsidRPr="00E30740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5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严禁混合配伍</w:t>
      </w:r>
      <w:r>
        <w:rPr>
          <w:rFonts w:eastAsia="仿宋_GB2312" w:hint="eastAsia"/>
          <w:spacing w:val="-4"/>
          <w:sz w:val="32"/>
          <w:szCs w:val="32"/>
        </w:rPr>
        <w:t>，</w:t>
      </w:r>
      <w:r w:rsidRPr="00E30740">
        <w:rPr>
          <w:rFonts w:eastAsia="仿宋_GB2312" w:hint="eastAsia"/>
          <w:spacing w:val="-4"/>
          <w:sz w:val="32"/>
          <w:szCs w:val="32"/>
        </w:rPr>
        <w:t>谨慎联合用药。本品应单独使用</w:t>
      </w:r>
      <w:r>
        <w:rPr>
          <w:rFonts w:eastAsia="仿宋_GB2312" w:hint="eastAsia"/>
          <w:spacing w:val="-4"/>
          <w:sz w:val="32"/>
          <w:szCs w:val="32"/>
        </w:rPr>
        <w:t>，</w:t>
      </w:r>
      <w:r w:rsidRPr="00E30740">
        <w:rPr>
          <w:rFonts w:eastAsia="仿宋_GB2312" w:hint="eastAsia"/>
          <w:spacing w:val="-4"/>
          <w:sz w:val="32"/>
          <w:szCs w:val="32"/>
        </w:rPr>
        <w:t>禁忌与其他药</w:t>
      </w:r>
      <w:r>
        <w:rPr>
          <w:rFonts w:eastAsia="仿宋_GB2312" w:hint="eastAsia"/>
          <w:spacing w:val="-4"/>
          <w:sz w:val="32"/>
          <w:szCs w:val="32"/>
        </w:rPr>
        <w:t>品</w:t>
      </w:r>
      <w:r w:rsidRPr="00E30740">
        <w:rPr>
          <w:rFonts w:eastAsia="仿宋_GB2312" w:hint="eastAsia"/>
          <w:spacing w:val="-4"/>
          <w:sz w:val="32"/>
          <w:szCs w:val="32"/>
        </w:rPr>
        <w:t>混合配伍使用。如确需要联合使用其他药品时，应谨慎考虑与本品的间隔时间以及药物相互作用等问题。</w:t>
      </w:r>
    </w:p>
    <w:p w:rsidR="00C74AA1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6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本品与葡萄糖酸钙注射液、红霉素、四环素</w:t>
      </w:r>
      <w:r>
        <w:rPr>
          <w:rFonts w:eastAsia="仿宋_GB2312" w:hint="eastAsia"/>
          <w:spacing w:val="-4"/>
          <w:sz w:val="32"/>
          <w:szCs w:val="32"/>
        </w:rPr>
        <w:t>、</w:t>
      </w:r>
      <w:r w:rsidRPr="00E30740">
        <w:rPr>
          <w:rFonts w:eastAsia="仿宋_GB2312" w:hint="eastAsia"/>
          <w:spacing w:val="-4"/>
          <w:sz w:val="32"/>
          <w:szCs w:val="32"/>
        </w:rPr>
        <w:t>回苏灵</w:t>
      </w:r>
      <w:r w:rsidRPr="00E30740">
        <w:rPr>
          <w:rFonts w:eastAsia="仿宋_GB2312" w:hint="eastAsia"/>
          <w:spacing w:val="-4"/>
          <w:sz w:val="32"/>
          <w:szCs w:val="32"/>
        </w:rPr>
        <w:lastRenderedPageBreak/>
        <w:t>注射液、钙剂、酸性药物存在配伍禁忌，尤其不能与青霉素类高敏类药物合并使用。本品不能与</w:t>
      </w:r>
      <w:r>
        <w:rPr>
          <w:rFonts w:eastAsia="仿宋_GB2312" w:hint="eastAsia"/>
          <w:spacing w:val="-4"/>
          <w:sz w:val="32"/>
          <w:szCs w:val="32"/>
        </w:rPr>
        <w:t>氨</w:t>
      </w:r>
      <w:r w:rsidRPr="00E30740">
        <w:rPr>
          <w:rFonts w:eastAsia="仿宋_GB2312" w:hint="eastAsia"/>
          <w:spacing w:val="-4"/>
          <w:sz w:val="32"/>
          <w:szCs w:val="32"/>
        </w:rPr>
        <w:t>基糖苷类、头孢菌素类、复</w:t>
      </w:r>
      <w:r>
        <w:rPr>
          <w:rFonts w:eastAsia="仿宋_GB2312" w:hint="eastAsia"/>
          <w:spacing w:val="-4"/>
          <w:sz w:val="32"/>
          <w:szCs w:val="32"/>
        </w:rPr>
        <w:t>方氨</w:t>
      </w:r>
      <w:r w:rsidRPr="00E30740">
        <w:rPr>
          <w:rFonts w:eastAsia="仿宋_GB2312" w:hint="eastAsia"/>
          <w:spacing w:val="-4"/>
          <w:sz w:val="32"/>
          <w:szCs w:val="32"/>
        </w:rPr>
        <w:t>基比林联合应用，与其他抗生</w:t>
      </w:r>
      <w:r>
        <w:rPr>
          <w:rFonts w:eastAsia="仿宋_GB2312" w:hint="eastAsia"/>
          <w:spacing w:val="-4"/>
          <w:sz w:val="32"/>
          <w:szCs w:val="32"/>
        </w:rPr>
        <w:t>素</w:t>
      </w:r>
      <w:r w:rsidRPr="00E30740">
        <w:rPr>
          <w:rFonts w:eastAsia="仿宋_GB2312" w:hint="eastAsia"/>
          <w:spacing w:val="-4"/>
          <w:sz w:val="32"/>
          <w:szCs w:val="32"/>
        </w:rPr>
        <w:t>类药物</w:t>
      </w:r>
      <w:r>
        <w:rPr>
          <w:rFonts w:eastAsia="仿宋_GB2312" w:hint="eastAsia"/>
          <w:spacing w:val="-4"/>
          <w:sz w:val="32"/>
          <w:szCs w:val="32"/>
        </w:rPr>
        <w:t>、</w:t>
      </w:r>
      <w:r w:rsidRPr="00E30740">
        <w:rPr>
          <w:rFonts w:eastAsia="仿宋_GB2312" w:hint="eastAsia"/>
          <w:spacing w:val="-4"/>
          <w:sz w:val="32"/>
          <w:szCs w:val="32"/>
        </w:rPr>
        <w:t>维生素</w:t>
      </w:r>
      <w:r w:rsidRPr="00E30740">
        <w:rPr>
          <w:rFonts w:eastAsia="仿宋_GB2312" w:hint="eastAsia"/>
          <w:spacing w:val="-4"/>
          <w:sz w:val="32"/>
          <w:szCs w:val="32"/>
        </w:rPr>
        <w:t>K</w:t>
      </w:r>
      <w:r>
        <w:rPr>
          <w:rFonts w:eastAsia="仿宋_GB2312" w:hint="eastAsia"/>
          <w:spacing w:val="-4"/>
          <w:sz w:val="32"/>
          <w:szCs w:val="32"/>
        </w:rPr>
        <w:t>1</w:t>
      </w:r>
      <w:r w:rsidRPr="00E30740">
        <w:rPr>
          <w:rFonts w:eastAsia="仿宋_GB2312" w:hint="eastAsia"/>
          <w:spacing w:val="-4"/>
          <w:sz w:val="32"/>
          <w:szCs w:val="32"/>
        </w:rPr>
        <w:t>、法莫西丁、还原型</w:t>
      </w:r>
      <w:r w:rsidRPr="007157A7">
        <w:rPr>
          <w:rFonts w:eastAsia="仿宋_GB2312" w:hint="eastAsia"/>
          <w:spacing w:val="-4"/>
          <w:sz w:val="32"/>
          <w:szCs w:val="32"/>
        </w:rPr>
        <w:t>谷胱甘肽</w:t>
      </w:r>
      <w:r w:rsidRPr="00E30740">
        <w:rPr>
          <w:rFonts w:eastAsia="仿宋_GB2312" w:hint="eastAsia"/>
          <w:spacing w:val="-4"/>
          <w:sz w:val="32"/>
          <w:szCs w:val="32"/>
        </w:rPr>
        <w:t>联合应用时也应谨慎使用。</w:t>
      </w:r>
    </w:p>
    <w:p w:rsidR="00C74AA1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7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黄疸属寒湿阴黄者及</w:t>
      </w:r>
      <w:proofErr w:type="gramStart"/>
      <w:r w:rsidRPr="00E30740">
        <w:rPr>
          <w:rFonts w:eastAsia="仿宋_GB2312" w:hint="eastAsia"/>
          <w:spacing w:val="-4"/>
          <w:sz w:val="32"/>
          <w:szCs w:val="32"/>
        </w:rPr>
        <w:t>虚黄引起</w:t>
      </w:r>
      <w:proofErr w:type="gramEnd"/>
      <w:r w:rsidRPr="00E30740">
        <w:rPr>
          <w:rFonts w:eastAsia="仿宋_GB2312" w:hint="eastAsia"/>
          <w:spacing w:val="-4"/>
          <w:sz w:val="32"/>
          <w:szCs w:val="32"/>
        </w:rPr>
        <w:t>的面目萎黄者不宜使用。</w:t>
      </w:r>
    </w:p>
    <w:p w:rsidR="00C74AA1" w:rsidRPr="00E30740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>
        <w:rPr>
          <w:rFonts w:eastAsia="仿宋_GB2312" w:hint="eastAsia"/>
          <w:spacing w:val="-4"/>
          <w:sz w:val="32"/>
          <w:szCs w:val="32"/>
        </w:rPr>
        <w:t>8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老人、哺乳期妇女、过敏体质者、冠心病患者等特殊人群和初次使用</w:t>
      </w:r>
      <w:r>
        <w:rPr>
          <w:rFonts w:eastAsia="仿宋_GB2312" w:hint="eastAsia"/>
          <w:spacing w:val="-4"/>
          <w:sz w:val="32"/>
          <w:szCs w:val="32"/>
        </w:rPr>
        <w:t>中药</w:t>
      </w:r>
      <w:r w:rsidRPr="00E30740">
        <w:rPr>
          <w:rFonts w:eastAsia="仿宋_GB2312" w:hint="eastAsia"/>
          <w:spacing w:val="-4"/>
          <w:sz w:val="32"/>
          <w:szCs w:val="32"/>
        </w:rPr>
        <w:t>注射剂的患者应慎重使用，如确需使用，应加强监测。</w:t>
      </w:r>
    </w:p>
    <w:p w:rsidR="00C74AA1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9</w:t>
      </w:r>
      <w:r>
        <w:rPr>
          <w:rFonts w:eastAsia="仿宋_GB2312" w:hint="eastAsia"/>
          <w:spacing w:val="-4"/>
          <w:sz w:val="32"/>
          <w:szCs w:val="32"/>
        </w:rPr>
        <w:t>．</w:t>
      </w:r>
      <w:r w:rsidRPr="00E30740">
        <w:rPr>
          <w:rFonts w:eastAsia="仿宋_GB2312" w:hint="eastAsia"/>
          <w:spacing w:val="-4"/>
          <w:sz w:val="32"/>
          <w:szCs w:val="32"/>
        </w:rPr>
        <w:t>目前尚无儿童应用本品的系统研究资料，不建议儿童使用。</w:t>
      </w:r>
    </w:p>
    <w:p w:rsidR="00C74AA1" w:rsidRPr="00F46854" w:rsidRDefault="00C74AA1" w:rsidP="00C74AA1">
      <w:pPr>
        <w:spacing w:line="640" w:lineRule="exact"/>
        <w:ind w:firstLineChars="200" w:firstLine="624"/>
        <w:rPr>
          <w:rFonts w:eastAsia="仿宋_GB2312" w:hint="eastAsia"/>
          <w:spacing w:val="-4"/>
          <w:sz w:val="32"/>
          <w:szCs w:val="32"/>
        </w:rPr>
      </w:pPr>
      <w:r w:rsidRPr="00E30740">
        <w:rPr>
          <w:rFonts w:eastAsia="仿宋_GB2312" w:hint="eastAsia"/>
          <w:spacing w:val="-4"/>
          <w:sz w:val="32"/>
          <w:szCs w:val="32"/>
        </w:rPr>
        <w:t>10</w:t>
      </w:r>
      <w:r w:rsidRPr="00E30740">
        <w:rPr>
          <w:rFonts w:eastAsia="仿宋_GB2312" w:hint="eastAsia"/>
          <w:spacing w:val="-4"/>
          <w:sz w:val="32"/>
          <w:szCs w:val="32"/>
        </w:rPr>
        <w:t>．静脉滴注时，必须稀释以后使用</w:t>
      </w:r>
      <w:r>
        <w:rPr>
          <w:rFonts w:eastAsia="仿宋_GB2312" w:hint="eastAsia"/>
          <w:spacing w:val="-4"/>
          <w:sz w:val="32"/>
          <w:szCs w:val="32"/>
        </w:rPr>
        <w:t>。</w:t>
      </w:r>
      <w:r w:rsidRPr="00E30740">
        <w:rPr>
          <w:rFonts w:eastAsia="仿宋_GB2312" w:hint="eastAsia"/>
          <w:spacing w:val="-4"/>
          <w:sz w:val="32"/>
          <w:szCs w:val="32"/>
        </w:rPr>
        <w:t>首次用药，</w:t>
      </w:r>
      <w:r>
        <w:rPr>
          <w:rFonts w:eastAsia="仿宋_GB2312" w:hint="eastAsia"/>
          <w:spacing w:val="-4"/>
          <w:sz w:val="32"/>
          <w:szCs w:val="32"/>
        </w:rPr>
        <w:t>宜</w:t>
      </w:r>
      <w:r w:rsidRPr="00E30740">
        <w:rPr>
          <w:rFonts w:eastAsia="仿宋_GB2312" w:hint="eastAsia"/>
          <w:spacing w:val="-4"/>
          <w:sz w:val="32"/>
          <w:szCs w:val="32"/>
        </w:rPr>
        <w:t>选用小</w:t>
      </w:r>
      <w:r>
        <w:rPr>
          <w:rFonts w:eastAsia="仿宋_GB2312" w:hint="eastAsia"/>
          <w:spacing w:val="-4"/>
          <w:sz w:val="32"/>
          <w:szCs w:val="32"/>
        </w:rPr>
        <w:t>剂</w:t>
      </w:r>
      <w:r w:rsidRPr="00E30740">
        <w:rPr>
          <w:rFonts w:eastAsia="仿宋_GB2312" w:hint="eastAsia"/>
          <w:spacing w:val="-4"/>
          <w:sz w:val="32"/>
          <w:szCs w:val="32"/>
        </w:rPr>
        <w:t>量，慢速滴注</w:t>
      </w:r>
      <w:r>
        <w:rPr>
          <w:rFonts w:eastAsia="仿宋_GB2312" w:hint="eastAsia"/>
          <w:spacing w:val="-4"/>
          <w:sz w:val="32"/>
          <w:szCs w:val="32"/>
        </w:rPr>
        <w:t>。</w:t>
      </w:r>
      <w:r w:rsidRPr="00E30740">
        <w:rPr>
          <w:rFonts w:eastAsia="仿宋_GB2312" w:hint="eastAsia"/>
          <w:spacing w:val="-4"/>
          <w:sz w:val="32"/>
          <w:szCs w:val="32"/>
        </w:rPr>
        <w:t>加强用药监护</w:t>
      </w:r>
      <w:r>
        <w:rPr>
          <w:rFonts w:eastAsia="仿宋_GB2312" w:hint="eastAsia"/>
          <w:spacing w:val="-4"/>
          <w:sz w:val="32"/>
          <w:szCs w:val="32"/>
        </w:rPr>
        <w:t>。</w:t>
      </w:r>
      <w:r w:rsidRPr="00E30740">
        <w:rPr>
          <w:rFonts w:eastAsia="仿宋_GB2312" w:hint="eastAsia"/>
          <w:spacing w:val="-4"/>
          <w:sz w:val="32"/>
          <w:szCs w:val="32"/>
        </w:rPr>
        <w:t>用药过程中，应密切观察用药反应，特别是开始</w:t>
      </w:r>
      <w:r w:rsidRPr="00E30740">
        <w:rPr>
          <w:rFonts w:eastAsia="仿宋_GB2312" w:hint="eastAsia"/>
          <w:spacing w:val="-4"/>
          <w:sz w:val="32"/>
          <w:szCs w:val="32"/>
        </w:rPr>
        <w:t>30</w:t>
      </w:r>
      <w:r w:rsidRPr="00E30740">
        <w:rPr>
          <w:rFonts w:eastAsia="仿宋_GB2312" w:hint="eastAsia"/>
          <w:spacing w:val="-4"/>
          <w:sz w:val="32"/>
          <w:szCs w:val="32"/>
        </w:rPr>
        <w:t>分</w:t>
      </w:r>
      <w:r>
        <w:rPr>
          <w:rFonts w:eastAsia="仿宋_GB2312" w:hint="eastAsia"/>
          <w:spacing w:val="-4"/>
          <w:sz w:val="32"/>
          <w:szCs w:val="32"/>
        </w:rPr>
        <w:t>钟。</w:t>
      </w:r>
      <w:r w:rsidRPr="00E30740">
        <w:rPr>
          <w:rFonts w:eastAsia="仿宋_GB2312" w:hint="eastAsia"/>
          <w:spacing w:val="-4"/>
          <w:sz w:val="32"/>
          <w:szCs w:val="32"/>
        </w:rPr>
        <w:t>发现异常，立即停药，及时采取积极救治</w:t>
      </w:r>
      <w:r>
        <w:rPr>
          <w:rFonts w:eastAsia="仿宋_GB2312" w:hint="eastAsia"/>
          <w:spacing w:val="-4"/>
          <w:sz w:val="32"/>
          <w:szCs w:val="32"/>
        </w:rPr>
        <w:t>措施</w:t>
      </w:r>
      <w:r w:rsidRPr="00E30740">
        <w:rPr>
          <w:rFonts w:eastAsia="仿宋_GB2312" w:hint="eastAsia"/>
          <w:spacing w:val="-4"/>
          <w:sz w:val="32"/>
          <w:szCs w:val="32"/>
        </w:rPr>
        <w:t>。</w:t>
      </w:r>
    </w:p>
    <w:p w:rsidR="00055EB3" w:rsidRPr="00C74AA1" w:rsidRDefault="00055EB3">
      <w:bookmarkStart w:id="0" w:name="_GoBack"/>
      <w:bookmarkEnd w:id="0"/>
    </w:p>
    <w:sectPr w:rsidR="00055EB3" w:rsidRPr="00C74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A1"/>
    <w:rsid w:val="00055EB3"/>
    <w:rsid w:val="00C7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3415D-8E6A-49C7-91E4-D03C537F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A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2016-08-31T09:03:00Z</dcterms:created>
  <dcterms:modified xsi:type="dcterms:W3CDTF">2016-08-31T09:04:00Z</dcterms:modified>
</cp:coreProperties>
</file>