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0EF" w:rsidRPr="0052095B" w:rsidRDefault="000460EF" w:rsidP="000460EF">
      <w:pPr>
        <w:ind w:leftChars="1" w:left="1877" w:hangingChars="586" w:hanging="1875"/>
        <w:rPr>
          <w:rFonts w:eastAsia="黑体"/>
          <w:sz w:val="32"/>
          <w:szCs w:val="32"/>
        </w:rPr>
      </w:pPr>
      <w:r w:rsidRPr="0052095B">
        <w:rPr>
          <w:rFonts w:eastAsia="黑体"/>
          <w:sz w:val="32"/>
          <w:szCs w:val="32"/>
        </w:rPr>
        <w:t>附件</w:t>
      </w:r>
    </w:p>
    <w:p w:rsidR="000460EF" w:rsidRPr="0052095B" w:rsidRDefault="000460EF" w:rsidP="000460EF">
      <w:pPr>
        <w:spacing w:line="360" w:lineRule="auto"/>
        <w:rPr>
          <w:rFonts w:eastAsia="黑体"/>
          <w:sz w:val="44"/>
          <w:szCs w:val="44"/>
        </w:rPr>
      </w:pPr>
    </w:p>
    <w:p w:rsidR="000460EF" w:rsidRPr="00EF4854" w:rsidRDefault="000460EF" w:rsidP="000460EF">
      <w:pPr>
        <w:spacing w:line="640" w:lineRule="exact"/>
        <w:jc w:val="center"/>
        <w:rPr>
          <w:rFonts w:ascii="方正小标宋简体" w:eastAsia="方正小标宋简体"/>
          <w:sz w:val="44"/>
          <w:szCs w:val="44"/>
        </w:rPr>
      </w:pPr>
      <w:r w:rsidRPr="00EF4854">
        <w:rPr>
          <w:rFonts w:ascii="方正小标宋简体" w:eastAsia="方正小标宋简体" w:hint="eastAsia"/>
          <w:sz w:val="44"/>
          <w:szCs w:val="44"/>
        </w:rPr>
        <w:t>复方氨基酸注射液（18AA）及同类制剂</w:t>
      </w:r>
    </w:p>
    <w:p w:rsidR="000460EF" w:rsidRPr="00EF4854" w:rsidRDefault="000460EF" w:rsidP="000460EF">
      <w:pPr>
        <w:spacing w:line="640" w:lineRule="exact"/>
        <w:jc w:val="center"/>
        <w:rPr>
          <w:rFonts w:ascii="方正小标宋简体" w:eastAsia="方正小标宋简体"/>
          <w:sz w:val="44"/>
          <w:szCs w:val="44"/>
        </w:rPr>
      </w:pPr>
      <w:r w:rsidRPr="00EF4854">
        <w:rPr>
          <w:rFonts w:ascii="方正小标宋简体" w:eastAsia="方正小标宋简体" w:hint="eastAsia"/>
          <w:sz w:val="44"/>
          <w:szCs w:val="44"/>
        </w:rPr>
        <w:t>说明书修订要求</w:t>
      </w:r>
    </w:p>
    <w:p w:rsidR="000460EF" w:rsidRDefault="000460EF" w:rsidP="000460EF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0460EF" w:rsidRPr="00EF4854" w:rsidRDefault="000460EF" w:rsidP="000460EF">
      <w:pPr>
        <w:spacing w:line="500" w:lineRule="exact"/>
        <w:ind w:firstLineChars="200" w:firstLine="640"/>
        <w:rPr>
          <w:rFonts w:eastAsia="仿宋_GB2312"/>
          <w:sz w:val="32"/>
          <w:szCs w:val="32"/>
        </w:rPr>
      </w:pPr>
      <w:r w:rsidRPr="00EF4854">
        <w:rPr>
          <w:rFonts w:eastAsia="仿宋_GB2312"/>
          <w:sz w:val="32"/>
          <w:szCs w:val="32"/>
        </w:rPr>
        <w:t>复方氨基酸注射液（</w:t>
      </w:r>
      <w:r w:rsidRPr="00EF4854">
        <w:rPr>
          <w:rFonts w:eastAsia="仿宋_GB2312"/>
          <w:sz w:val="32"/>
          <w:szCs w:val="32"/>
        </w:rPr>
        <w:t>18AA</w:t>
      </w:r>
      <w:r w:rsidRPr="00EF4854">
        <w:rPr>
          <w:rFonts w:eastAsia="仿宋_GB2312"/>
          <w:sz w:val="32"/>
          <w:szCs w:val="32"/>
        </w:rPr>
        <w:t>）及同类制剂包括：复方氨基酸注射液（</w:t>
      </w:r>
      <w:r w:rsidRPr="00EF4854">
        <w:rPr>
          <w:rFonts w:eastAsia="仿宋_GB2312"/>
          <w:sz w:val="32"/>
          <w:szCs w:val="32"/>
        </w:rPr>
        <w:t>18AA</w:t>
      </w:r>
      <w:r w:rsidRPr="00EF4854">
        <w:rPr>
          <w:rFonts w:eastAsia="仿宋_GB2312"/>
          <w:sz w:val="32"/>
          <w:szCs w:val="32"/>
        </w:rPr>
        <w:t>）、复方氨基酸注射液（</w:t>
      </w:r>
      <w:r w:rsidRPr="00EF4854">
        <w:rPr>
          <w:rFonts w:eastAsia="仿宋_GB2312"/>
          <w:sz w:val="32"/>
          <w:szCs w:val="32"/>
        </w:rPr>
        <w:t>18AA-I</w:t>
      </w:r>
      <w:r w:rsidRPr="00EF4854">
        <w:rPr>
          <w:rFonts w:eastAsia="仿宋_GB2312"/>
          <w:sz w:val="32"/>
          <w:szCs w:val="32"/>
        </w:rPr>
        <w:t>）、复方氨基酸注射液（</w:t>
      </w:r>
      <w:r w:rsidRPr="00EF4854">
        <w:rPr>
          <w:rFonts w:eastAsia="仿宋_GB2312"/>
          <w:sz w:val="32"/>
          <w:szCs w:val="32"/>
        </w:rPr>
        <w:t>18AA-</w:t>
      </w:r>
      <w:r w:rsidRPr="00EF4854">
        <w:rPr>
          <w:rFonts w:ascii="宋体" w:hAnsi="宋体" w:cs="宋体" w:hint="eastAsia"/>
          <w:sz w:val="32"/>
          <w:szCs w:val="32"/>
        </w:rPr>
        <w:t>Ⅱ</w:t>
      </w:r>
      <w:r w:rsidRPr="00EF4854">
        <w:rPr>
          <w:rFonts w:eastAsia="仿宋_GB2312"/>
          <w:sz w:val="32"/>
          <w:szCs w:val="32"/>
        </w:rPr>
        <w:t>）、复方氨基酸注射液（</w:t>
      </w:r>
      <w:r w:rsidRPr="00EF4854">
        <w:rPr>
          <w:rFonts w:eastAsia="仿宋_GB2312"/>
          <w:sz w:val="32"/>
          <w:szCs w:val="32"/>
        </w:rPr>
        <w:t>18AA-</w:t>
      </w:r>
      <w:r w:rsidRPr="00EF4854">
        <w:rPr>
          <w:rFonts w:ascii="宋体" w:hAnsi="宋体" w:cs="宋体" w:hint="eastAsia"/>
          <w:sz w:val="32"/>
          <w:szCs w:val="32"/>
        </w:rPr>
        <w:t>Ⅲ</w:t>
      </w:r>
      <w:r w:rsidRPr="00EF4854">
        <w:rPr>
          <w:rFonts w:eastAsia="仿宋_GB2312"/>
          <w:sz w:val="32"/>
          <w:szCs w:val="32"/>
        </w:rPr>
        <w:t>）、复方氨基酸注射液（</w:t>
      </w:r>
      <w:r w:rsidRPr="00EF4854">
        <w:rPr>
          <w:rFonts w:eastAsia="仿宋_GB2312"/>
          <w:sz w:val="32"/>
          <w:szCs w:val="32"/>
        </w:rPr>
        <w:t>18AA-</w:t>
      </w:r>
      <w:r w:rsidRPr="00EF4854">
        <w:rPr>
          <w:rFonts w:ascii="宋体" w:hAnsi="宋体" w:cs="宋体" w:hint="eastAsia"/>
          <w:sz w:val="32"/>
          <w:szCs w:val="32"/>
        </w:rPr>
        <w:t>Ⅳ</w:t>
      </w:r>
      <w:r w:rsidRPr="00EF4854">
        <w:rPr>
          <w:rFonts w:eastAsia="仿宋_GB2312"/>
          <w:sz w:val="32"/>
          <w:szCs w:val="32"/>
        </w:rPr>
        <w:t>）、复方氨基酸注射液（</w:t>
      </w:r>
      <w:r w:rsidRPr="00EF4854">
        <w:rPr>
          <w:rFonts w:eastAsia="仿宋_GB2312"/>
          <w:sz w:val="32"/>
          <w:szCs w:val="32"/>
        </w:rPr>
        <w:t>18AA-</w:t>
      </w:r>
      <w:r w:rsidRPr="00EF4854">
        <w:rPr>
          <w:rFonts w:ascii="宋体" w:hAnsi="宋体" w:cs="宋体" w:hint="eastAsia"/>
          <w:sz w:val="32"/>
          <w:szCs w:val="32"/>
        </w:rPr>
        <w:t>Ⅴ</w:t>
      </w:r>
      <w:r w:rsidRPr="00EF4854">
        <w:rPr>
          <w:rFonts w:eastAsia="仿宋_GB2312"/>
          <w:sz w:val="32"/>
          <w:szCs w:val="32"/>
        </w:rPr>
        <w:t>）、复方氨基酸注射液（</w:t>
      </w:r>
      <w:r w:rsidRPr="00EF4854">
        <w:rPr>
          <w:rFonts w:eastAsia="仿宋_GB2312"/>
          <w:sz w:val="32"/>
          <w:szCs w:val="32"/>
        </w:rPr>
        <w:t>18AA-</w:t>
      </w:r>
      <w:r w:rsidRPr="00EF4854">
        <w:rPr>
          <w:rFonts w:ascii="宋体" w:hAnsi="宋体" w:cs="宋体" w:hint="eastAsia"/>
          <w:sz w:val="32"/>
          <w:szCs w:val="32"/>
        </w:rPr>
        <w:t>Ⅶ</w:t>
      </w:r>
      <w:r w:rsidRPr="00EF4854">
        <w:rPr>
          <w:rFonts w:eastAsia="仿宋_GB2312"/>
          <w:sz w:val="32"/>
          <w:szCs w:val="32"/>
        </w:rPr>
        <w:t>）和复方氨基酸注射液（</w:t>
      </w:r>
      <w:r w:rsidRPr="00EF4854">
        <w:rPr>
          <w:rFonts w:eastAsia="仿宋_GB2312"/>
          <w:sz w:val="32"/>
          <w:szCs w:val="32"/>
        </w:rPr>
        <w:t>18AA-</w:t>
      </w:r>
      <w:r w:rsidRPr="00EF4854">
        <w:rPr>
          <w:rFonts w:ascii="宋体" w:hAnsi="宋体" w:cs="宋体" w:hint="eastAsia"/>
          <w:sz w:val="32"/>
          <w:szCs w:val="32"/>
        </w:rPr>
        <w:t>Ⅸ</w:t>
      </w:r>
      <w:r w:rsidRPr="00EF4854">
        <w:rPr>
          <w:rFonts w:eastAsia="仿宋_GB2312"/>
          <w:sz w:val="32"/>
          <w:szCs w:val="32"/>
        </w:rPr>
        <w:t>）。</w:t>
      </w:r>
    </w:p>
    <w:p w:rsidR="000460EF" w:rsidRPr="00EF4854" w:rsidRDefault="000460EF" w:rsidP="000460EF">
      <w:pPr>
        <w:spacing w:line="500" w:lineRule="exact"/>
        <w:ind w:firstLineChars="200" w:firstLine="640"/>
        <w:rPr>
          <w:rFonts w:eastAsia="仿宋_GB2312"/>
          <w:sz w:val="32"/>
          <w:szCs w:val="32"/>
        </w:rPr>
      </w:pPr>
      <w:r w:rsidRPr="00EF4854">
        <w:rPr>
          <w:rFonts w:eastAsia="仿宋_GB2312"/>
          <w:sz w:val="32"/>
          <w:szCs w:val="32"/>
        </w:rPr>
        <w:t>上述品种说明书中必须包含以下内容：</w:t>
      </w:r>
    </w:p>
    <w:p w:rsidR="000460EF" w:rsidRPr="00EF4854" w:rsidRDefault="000460EF" w:rsidP="000460EF">
      <w:pPr>
        <w:spacing w:line="500" w:lineRule="exact"/>
        <w:ind w:firstLineChars="200" w:firstLine="640"/>
        <w:rPr>
          <w:rFonts w:eastAsia="仿宋_GB2312"/>
          <w:sz w:val="32"/>
          <w:szCs w:val="32"/>
        </w:rPr>
      </w:pPr>
      <w:r w:rsidRPr="00EF4854">
        <w:rPr>
          <w:rFonts w:eastAsia="仿宋_GB2312"/>
          <w:sz w:val="32"/>
          <w:szCs w:val="32"/>
        </w:rPr>
        <w:t>一</w:t>
      </w:r>
      <w:r>
        <w:rPr>
          <w:rFonts w:eastAsia="仿宋_GB2312" w:hint="eastAsia"/>
          <w:sz w:val="32"/>
          <w:szCs w:val="32"/>
        </w:rPr>
        <w:t>、</w:t>
      </w:r>
      <w:r w:rsidRPr="00EF4854">
        <w:rPr>
          <w:rFonts w:eastAsia="仿宋_GB2312"/>
          <w:sz w:val="32"/>
          <w:szCs w:val="32"/>
        </w:rPr>
        <w:t>【不良反应】项</w:t>
      </w:r>
    </w:p>
    <w:p w:rsidR="000460EF" w:rsidRPr="00EF4854" w:rsidRDefault="000460EF" w:rsidP="000460EF">
      <w:pPr>
        <w:spacing w:line="500" w:lineRule="exact"/>
        <w:ind w:firstLineChars="200" w:firstLine="640"/>
        <w:rPr>
          <w:rFonts w:eastAsia="仿宋_GB2312"/>
          <w:sz w:val="32"/>
          <w:szCs w:val="32"/>
        </w:rPr>
      </w:pPr>
      <w:r w:rsidRPr="00EF4854">
        <w:rPr>
          <w:rFonts w:eastAsia="仿宋_GB2312"/>
          <w:sz w:val="32"/>
          <w:szCs w:val="32"/>
        </w:rPr>
        <w:t>全身性反应：寒战、发冷、发热。</w:t>
      </w:r>
    </w:p>
    <w:p w:rsidR="000460EF" w:rsidRPr="00EF4854" w:rsidRDefault="000460EF" w:rsidP="000460EF">
      <w:pPr>
        <w:spacing w:line="500" w:lineRule="exact"/>
        <w:ind w:firstLineChars="200" w:firstLine="640"/>
        <w:rPr>
          <w:rFonts w:eastAsia="仿宋_GB2312"/>
          <w:sz w:val="32"/>
          <w:szCs w:val="32"/>
        </w:rPr>
      </w:pPr>
      <w:r w:rsidRPr="00EF4854">
        <w:rPr>
          <w:rFonts w:eastAsia="仿宋_GB2312"/>
          <w:sz w:val="32"/>
          <w:szCs w:val="32"/>
        </w:rPr>
        <w:t>胃肠系统：恶心、呕吐。</w:t>
      </w:r>
    </w:p>
    <w:p w:rsidR="000460EF" w:rsidRPr="00EF4854" w:rsidRDefault="000460EF" w:rsidP="000460EF">
      <w:pPr>
        <w:spacing w:line="500" w:lineRule="exact"/>
        <w:ind w:firstLineChars="200" w:firstLine="640"/>
        <w:rPr>
          <w:rFonts w:eastAsia="仿宋_GB2312"/>
          <w:sz w:val="32"/>
          <w:szCs w:val="32"/>
        </w:rPr>
      </w:pPr>
      <w:r w:rsidRPr="00EF4854">
        <w:rPr>
          <w:rFonts w:eastAsia="仿宋_GB2312"/>
          <w:sz w:val="32"/>
          <w:szCs w:val="32"/>
        </w:rPr>
        <w:t>呼吸系统：胸闷、呼吸困难。</w:t>
      </w:r>
    </w:p>
    <w:p w:rsidR="000460EF" w:rsidRPr="00EF4854" w:rsidRDefault="000460EF" w:rsidP="000460EF">
      <w:pPr>
        <w:spacing w:line="500" w:lineRule="exact"/>
        <w:ind w:firstLineChars="200" w:firstLine="640"/>
        <w:rPr>
          <w:rFonts w:eastAsia="仿宋_GB2312"/>
          <w:sz w:val="32"/>
          <w:szCs w:val="32"/>
        </w:rPr>
      </w:pPr>
      <w:r w:rsidRPr="00EF4854">
        <w:rPr>
          <w:rFonts w:eastAsia="仿宋_GB2312"/>
          <w:sz w:val="32"/>
          <w:szCs w:val="32"/>
        </w:rPr>
        <w:t>中枢及外周神经系统：头晕、头痛。</w:t>
      </w:r>
    </w:p>
    <w:p w:rsidR="000460EF" w:rsidRPr="00EF4854" w:rsidRDefault="000460EF" w:rsidP="000460EF">
      <w:pPr>
        <w:spacing w:line="500" w:lineRule="exact"/>
        <w:ind w:firstLineChars="200" w:firstLine="640"/>
        <w:rPr>
          <w:rFonts w:eastAsia="仿宋_GB2312"/>
          <w:sz w:val="32"/>
          <w:szCs w:val="32"/>
        </w:rPr>
      </w:pPr>
      <w:r w:rsidRPr="00EF4854">
        <w:rPr>
          <w:rFonts w:eastAsia="仿宋_GB2312"/>
          <w:sz w:val="32"/>
          <w:szCs w:val="32"/>
        </w:rPr>
        <w:t>过敏反应：由于含有抗氧化剂焦亚硫酸钠或亚硫酸氢钠，因此可能会诱发过敏反应（尤其哮喘病人），表现为皮疹、瘙痒等，严重者可发生过敏性休克，如发生应立即停药。</w:t>
      </w:r>
    </w:p>
    <w:p w:rsidR="000460EF" w:rsidRPr="00EF4854" w:rsidRDefault="000460EF" w:rsidP="000460EF">
      <w:pPr>
        <w:spacing w:line="500" w:lineRule="exact"/>
        <w:ind w:firstLineChars="200" w:firstLine="640"/>
        <w:rPr>
          <w:rFonts w:eastAsia="仿宋_GB2312"/>
          <w:sz w:val="32"/>
          <w:szCs w:val="32"/>
        </w:rPr>
      </w:pPr>
      <w:r w:rsidRPr="00EF4854">
        <w:rPr>
          <w:rFonts w:eastAsia="仿宋_GB2312"/>
          <w:sz w:val="32"/>
          <w:szCs w:val="32"/>
        </w:rPr>
        <w:t>其他：心悸、面部潮红、多汗等。</w:t>
      </w:r>
    </w:p>
    <w:p w:rsidR="000460EF" w:rsidRPr="00EF4854" w:rsidRDefault="000460EF" w:rsidP="000460EF">
      <w:pPr>
        <w:spacing w:line="500" w:lineRule="exact"/>
        <w:ind w:firstLineChars="200" w:firstLine="640"/>
        <w:rPr>
          <w:rFonts w:eastAsia="仿宋_GB2312"/>
          <w:sz w:val="32"/>
          <w:szCs w:val="32"/>
        </w:rPr>
      </w:pPr>
      <w:r w:rsidRPr="00EF4854">
        <w:rPr>
          <w:rFonts w:eastAsia="仿宋_GB2312"/>
          <w:sz w:val="32"/>
          <w:szCs w:val="32"/>
        </w:rPr>
        <w:t>本品为高渗溶液，从周围静脉输注或滴注速度过快时，有可能导致血栓性静脉炎和注射部位疼痛。</w:t>
      </w:r>
    </w:p>
    <w:p w:rsidR="000460EF" w:rsidRPr="00EF4854" w:rsidRDefault="000460EF" w:rsidP="000460EF">
      <w:pPr>
        <w:spacing w:line="500" w:lineRule="exact"/>
        <w:ind w:firstLineChars="200" w:firstLine="624"/>
        <w:rPr>
          <w:rFonts w:eastAsia="仿宋_GB2312"/>
          <w:spacing w:val="-4"/>
          <w:sz w:val="32"/>
          <w:szCs w:val="32"/>
        </w:rPr>
      </w:pPr>
      <w:r w:rsidRPr="00EF4854">
        <w:rPr>
          <w:rFonts w:eastAsia="仿宋_GB2312"/>
          <w:spacing w:val="-4"/>
          <w:sz w:val="32"/>
          <w:szCs w:val="32"/>
        </w:rPr>
        <w:t>过量或快速输注可能引起代谢性酸中毒，可影响肝及肾功能。</w:t>
      </w:r>
    </w:p>
    <w:p w:rsidR="000460EF" w:rsidRPr="00EF4854" w:rsidRDefault="000460EF" w:rsidP="000460EF">
      <w:pPr>
        <w:spacing w:line="500" w:lineRule="exact"/>
        <w:ind w:firstLineChars="200" w:firstLine="640"/>
        <w:rPr>
          <w:rFonts w:eastAsia="仿宋_GB2312"/>
          <w:sz w:val="32"/>
          <w:szCs w:val="32"/>
        </w:rPr>
      </w:pPr>
      <w:r w:rsidRPr="00EF4854">
        <w:rPr>
          <w:rFonts w:eastAsia="仿宋_GB2312"/>
          <w:sz w:val="32"/>
          <w:szCs w:val="32"/>
        </w:rPr>
        <w:t>二</w:t>
      </w:r>
      <w:r>
        <w:rPr>
          <w:rFonts w:eastAsia="仿宋_GB2312" w:hint="eastAsia"/>
          <w:sz w:val="32"/>
          <w:szCs w:val="32"/>
        </w:rPr>
        <w:t>、</w:t>
      </w:r>
      <w:r w:rsidRPr="00EF4854">
        <w:rPr>
          <w:rFonts w:eastAsia="仿宋_GB2312"/>
          <w:sz w:val="32"/>
          <w:szCs w:val="32"/>
        </w:rPr>
        <w:t>在说明书相应内容中标示本品抗氧化剂浓度和渗透压摩尔浓度。</w:t>
      </w:r>
    </w:p>
    <w:p w:rsidR="00C20559" w:rsidRPr="000460EF" w:rsidRDefault="003448D5" w:rsidP="000460EF">
      <w:pPr>
        <w:spacing w:line="20" w:lineRule="exact"/>
        <w:rPr>
          <w:rFonts w:eastAsia="仿宋_GB2312"/>
          <w:sz w:val="28"/>
          <w:szCs w:val="28"/>
        </w:rPr>
      </w:pPr>
      <w:r>
        <w:rPr>
          <w:rFonts w:eastAsia="仿宋_GB2312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2" o:spid="_x0000_s1028" type="#_x0000_t202" style="position:absolute;left:0;text-align:left;margin-left:0;margin-top:8pt;width:72.7pt;height:27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" strokecolor="white">
            <v:textbox>
              <w:txbxContent>
                <w:p w:rsidR="000460EF" w:rsidRDefault="000460EF" w:rsidP="000460EF"/>
              </w:txbxContent>
            </v:textbox>
          </v:shape>
        </w:pict>
      </w:r>
    </w:p>
    <w:sectPr w:rsidR="00C20559" w:rsidRPr="000460EF" w:rsidSect="00EF4854">
      <w:footerReference w:type="even" r:id="rId7"/>
      <w:footerReference w:type="default" r:id="rId8"/>
      <w:pgSz w:w="11906" w:h="16838"/>
      <w:pgMar w:top="1758" w:right="1531" w:bottom="1588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6411" w:rsidRDefault="00966411" w:rsidP="000460EF">
      <w:r>
        <w:separator/>
      </w:r>
    </w:p>
  </w:endnote>
  <w:endnote w:type="continuationSeparator" w:id="1">
    <w:p w:rsidR="00966411" w:rsidRDefault="00966411" w:rsidP="000460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EF4" w:rsidRPr="00EF4854" w:rsidRDefault="00A32600">
    <w:pPr>
      <w:pStyle w:val="a4"/>
      <w:rPr>
        <w:sz w:val="28"/>
        <w:szCs w:val="28"/>
      </w:rPr>
    </w:pPr>
    <w:r w:rsidRPr="00EF4854">
      <w:rPr>
        <w:rFonts w:hint="eastAsia"/>
        <w:color w:val="FFFFFF"/>
        <w:sz w:val="28"/>
        <w:szCs w:val="28"/>
      </w:rPr>
      <w:t>—</w:t>
    </w:r>
    <w:r w:rsidRPr="00EF4854">
      <w:rPr>
        <w:rFonts w:hint="eastAsia"/>
        <w:sz w:val="28"/>
        <w:szCs w:val="28"/>
      </w:rPr>
      <w:t>—</w:t>
    </w:r>
    <w:r w:rsidR="003448D5" w:rsidRPr="00EF4854">
      <w:rPr>
        <w:sz w:val="28"/>
        <w:szCs w:val="28"/>
      </w:rPr>
      <w:fldChar w:fldCharType="begin"/>
    </w:r>
    <w:r w:rsidRPr="00EF4854">
      <w:rPr>
        <w:sz w:val="28"/>
        <w:szCs w:val="28"/>
      </w:rPr>
      <w:instrText>PAGE   \* MERGEFORMAT</w:instrText>
    </w:r>
    <w:r w:rsidR="003448D5" w:rsidRPr="00EF4854">
      <w:rPr>
        <w:sz w:val="28"/>
        <w:szCs w:val="28"/>
      </w:rPr>
      <w:fldChar w:fldCharType="separate"/>
    </w:r>
    <w:r w:rsidRPr="008E5784">
      <w:rPr>
        <w:noProof/>
        <w:sz w:val="28"/>
        <w:szCs w:val="28"/>
        <w:lang w:val="zh-CN"/>
      </w:rPr>
      <w:t>4</w:t>
    </w:r>
    <w:r w:rsidR="003448D5" w:rsidRPr="00EF4854">
      <w:rPr>
        <w:sz w:val="28"/>
        <w:szCs w:val="28"/>
      </w:rPr>
      <w:fldChar w:fldCharType="end"/>
    </w:r>
    <w:r w:rsidRPr="00EF4854">
      <w:rPr>
        <w:rFonts w:hint="eastAsia"/>
        <w:sz w:val="28"/>
        <w:szCs w:val="28"/>
      </w:rPr>
      <w:t>—</w:t>
    </w:r>
  </w:p>
  <w:p w:rsidR="009A1829" w:rsidRDefault="00966411" w:rsidP="00EF4854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EF4" w:rsidRPr="00EF4854" w:rsidRDefault="00A32600" w:rsidP="00EF4854">
    <w:pPr>
      <w:pStyle w:val="a4"/>
      <w:wordWrap w:val="0"/>
      <w:jc w:val="right"/>
      <w:rPr>
        <w:sz w:val="28"/>
        <w:szCs w:val="28"/>
      </w:rPr>
    </w:pPr>
    <w:r w:rsidRPr="00EF4854">
      <w:rPr>
        <w:rFonts w:hint="eastAsia"/>
        <w:sz w:val="28"/>
        <w:szCs w:val="28"/>
      </w:rPr>
      <w:t>—</w:t>
    </w:r>
    <w:r w:rsidR="003448D5" w:rsidRPr="00EF4854">
      <w:rPr>
        <w:sz w:val="28"/>
        <w:szCs w:val="28"/>
      </w:rPr>
      <w:fldChar w:fldCharType="begin"/>
    </w:r>
    <w:r w:rsidRPr="00EF4854">
      <w:rPr>
        <w:sz w:val="28"/>
        <w:szCs w:val="28"/>
      </w:rPr>
      <w:instrText>PAGE   \* MERGEFORMAT</w:instrText>
    </w:r>
    <w:r w:rsidR="003448D5" w:rsidRPr="00EF4854">
      <w:rPr>
        <w:sz w:val="28"/>
        <w:szCs w:val="28"/>
      </w:rPr>
      <w:fldChar w:fldCharType="separate"/>
    </w:r>
    <w:r w:rsidR="00731FF4" w:rsidRPr="00731FF4">
      <w:rPr>
        <w:noProof/>
        <w:sz w:val="28"/>
        <w:szCs w:val="28"/>
        <w:lang w:val="zh-CN"/>
      </w:rPr>
      <w:t>1</w:t>
    </w:r>
    <w:r w:rsidR="003448D5" w:rsidRPr="00EF4854">
      <w:rPr>
        <w:sz w:val="28"/>
        <w:szCs w:val="28"/>
      </w:rPr>
      <w:fldChar w:fldCharType="end"/>
    </w:r>
    <w:r w:rsidRPr="00EF4854">
      <w:rPr>
        <w:rFonts w:hint="eastAsia"/>
        <w:sz w:val="28"/>
        <w:szCs w:val="28"/>
      </w:rPr>
      <w:t>—</w:t>
    </w:r>
    <w:r w:rsidRPr="00EF4854">
      <w:rPr>
        <w:rFonts w:hint="eastAsia"/>
        <w:color w:val="FFFFFF"/>
        <w:sz w:val="28"/>
        <w:szCs w:val="28"/>
      </w:rPr>
      <w:t>—</w:t>
    </w:r>
  </w:p>
  <w:p w:rsidR="009A1829" w:rsidRDefault="00966411" w:rsidP="00EF4854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6411" w:rsidRDefault="00966411" w:rsidP="000460EF">
      <w:r>
        <w:separator/>
      </w:r>
    </w:p>
  </w:footnote>
  <w:footnote w:type="continuationSeparator" w:id="1">
    <w:p w:rsidR="00966411" w:rsidRDefault="00966411" w:rsidP="000460E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148BE"/>
    <w:rsid w:val="000460EF"/>
    <w:rsid w:val="001148BE"/>
    <w:rsid w:val="003448D5"/>
    <w:rsid w:val="00731FF4"/>
    <w:rsid w:val="00966411"/>
    <w:rsid w:val="00A32600"/>
    <w:rsid w:val="00C205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E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460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460E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460E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460E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E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460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460E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460E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460E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C82D89-D975-469B-A790-DBF6AF90D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405</Characters>
  <Application>Microsoft Office Word</Application>
  <DocSecurity>0</DocSecurity>
  <Lines>3</Lines>
  <Paragraphs>1</Paragraphs>
  <ScaleCrop>false</ScaleCrop>
  <Company>CFDA</Company>
  <LinksUpToDate>false</LinksUpToDate>
  <CharactersWithSpaces>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耿欣</dc:creator>
  <cp:lastModifiedBy>wxl</cp:lastModifiedBy>
  <cp:revision>2</cp:revision>
  <dcterms:created xsi:type="dcterms:W3CDTF">2016-09-12T09:49:00Z</dcterms:created>
  <dcterms:modified xsi:type="dcterms:W3CDTF">2016-09-12T09:49:00Z</dcterms:modified>
</cp:coreProperties>
</file>