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7B3" w:rsidRDefault="007267B3" w:rsidP="00664BCC">
      <w:pPr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附件</w:t>
      </w:r>
    </w:p>
    <w:p w:rsidR="007267B3" w:rsidRDefault="007267B3" w:rsidP="007267B3">
      <w:pPr>
        <w:spacing w:line="360" w:lineRule="auto"/>
        <w:rPr>
          <w:rFonts w:eastAsia="黑体"/>
          <w:sz w:val="44"/>
          <w:szCs w:val="44"/>
        </w:rPr>
      </w:pPr>
    </w:p>
    <w:p w:rsidR="007267B3" w:rsidRDefault="007267B3" w:rsidP="00664BCC">
      <w:pPr>
        <w:spacing w:afterLines="50" w:line="360" w:lineRule="auto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 w:hint="eastAsia"/>
          <w:sz w:val="44"/>
          <w:szCs w:val="44"/>
        </w:rPr>
        <w:t>吡喹酮片说明书修订要求</w:t>
      </w:r>
    </w:p>
    <w:p w:rsidR="007267B3" w:rsidRDefault="007267B3" w:rsidP="007267B3">
      <w:pPr>
        <w:spacing w:line="540" w:lineRule="exact"/>
        <w:ind w:firstLineChars="200" w:firstLine="640"/>
        <w:rPr>
          <w:rFonts w:eastAsia="仿宋_GB2312"/>
          <w:sz w:val="32"/>
          <w:szCs w:val="28"/>
        </w:rPr>
      </w:pPr>
      <w:r>
        <w:rPr>
          <w:rFonts w:eastAsia="仿宋_GB2312" w:hint="eastAsia"/>
          <w:sz w:val="32"/>
          <w:szCs w:val="28"/>
        </w:rPr>
        <w:t>一、增加警示语</w:t>
      </w:r>
      <w:r>
        <w:rPr>
          <w:rFonts w:eastAsia="仿宋_GB2312"/>
          <w:sz w:val="32"/>
          <w:szCs w:val="28"/>
        </w:rPr>
        <w:t>“</w:t>
      </w:r>
      <w:r>
        <w:rPr>
          <w:rFonts w:eastAsia="仿宋_GB2312" w:hint="eastAsia"/>
          <w:sz w:val="32"/>
          <w:szCs w:val="28"/>
        </w:rPr>
        <w:t>眼囊虫病患者禁用本品</w:t>
      </w:r>
      <w:r>
        <w:rPr>
          <w:rFonts w:eastAsia="仿宋_GB2312"/>
          <w:sz w:val="32"/>
          <w:szCs w:val="28"/>
        </w:rPr>
        <w:t>”</w:t>
      </w:r>
      <w:r>
        <w:rPr>
          <w:rFonts w:eastAsia="仿宋_GB2312" w:hint="eastAsia"/>
          <w:sz w:val="32"/>
          <w:szCs w:val="28"/>
        </w:rPr>
        <w:t>。同时建议在产品外包装的明显位置也增加该警示语。</w:t>
      </w:r>
    </w:p>
    <w:p w:rsidR="007267B3" w:rsidRDefault="007267B3" w:rsidP="007267B3">
      <w:pPr>
        <w:spacing w:line="540" w:lineRule="exact"/>
        <w:ind w:firstLineChars="200" w:firstLine="640"/>
        <w:rPr>
          <w:rFonts w:eastAsia="仿宋_GB2312"/>
          <w:sz w:val="32"/>
          <w:szCs w:val="28"/>
        </w:rPr>
      </w:pPr>
      <w:r>
        <w:rPr>
          <w:rFonts w:eastAsia="仿宋_GB2312" w:hint="eastAsia"/>
          <w:sz w:val="32"/>
          <w:szCs w:val="28"/>
        </w:rPr>
        <w:t>二、【不良反应】项应当包括：</w:t>
      </w:r>
    </w:p>
    <w:p w:rsidR="007267B3" w:rsidRDefault="007267B3" w:rsidP="007267B3">
      <w:pPr>
        <w:spacing w:line="540" w:lineRule="exact"/>
        <w:ind w:firstLineChars="200" w:firstLine="640"/>
        <w:rPr>
          <w:rFonts w:eastAsia="仿宋_GB2312"/>
          <w:sz w:val="32"/>
          <w:szCs w:val="28"/>
        </w:rPr>
      </w:pPr>
      <w:r>
        <w:rPr>
          <w:rFonts w:eastAsia="仿宋_GB2312"/>
          <w:sz w:val="32"/>
          <w:szCs w:val="28"/>
        </w:rPr>
        <w:t>1.</w:t>
      </w:r>
      <w:r>
        <w:rPr>
          <w:rFonts w:eastAsia="仿宋_GB2312" w:hint="eastAsia"/>
          <w:sz w:val="32"/>
          <w:szCs w:val="28"/>
        </w:rPr>
        <w:t>全身性损害：乏力、四肢酸痛、嗜酸性粒细胞增多症，此外还有本品引起过敏性休克的文献报道。</w:t>
      </w:r>
    </w:p>
    <w:p w:rsidR="007267B3" w:rsidRDefault="007267B3" w:rsidP="007267B3">
      <w:pPr>
        <w:spacing w:line="540" w:lineRule="exact"/>
        <w:ind w:firstLineChars="200" w:firstLine="640"/>
        <w:rPr>
          <w:rFonts w:eastAsia="仿宋_GB2312"/>
          <w:sz w:val="32"/>
          <w:szCs w:val="28"/>
        </w:rPr>
      </w:pPr>
      <w:r>
        <w:rPr>
          <w:rFonts w:eastAsia="仿宋_GB2312"/>
          <w:sz w:val="32"/>
          <w:szCs w:val="28"/>
        </w:rPr>
        <w:t>2.</w:t>
      </w:r>
      <w:r>
        <w:rPr>
          <w:rFonts w:eastAsia="仿宋_GB2312" w:hint="eastAsia"/>
          <w:sz w:val="32"/>
          <w:szCs w:val="28"/>
        </w:rPr>
        <w:t>心血管系统：心悸、胸闷、心电图显示</w:t>
      </w:r>
      <w:r>
        <w:rPr>
          <w:rFonts w:eastAsia="仿宋_GB2312"/>
          <w:sz w:val="32"/>
          <w:szCs w:val="28"/>
        </w:rPr>
        <w:t>T</w:t>
      </w:r>
      <w:r>
        <w:rPr>
          <w:rFonts w:eastAsia="仿宋_GB2312" w:hint="eastAsia"/>
          <w:sz w:val="32"/>
          <w:szCs w:val="28"/>
        </w:rPr>
        <w:t>波改变和期外收缩，室上性心动过速、心房纤颤。</w:t>
      </w:r>
    </w:p>
    <w:p w:rsidR="007267B3" w:rsidRDefault="007267B3" w:rsidP="007267B3">
      <w:pPr>
        <w:spacing w:line="540" w:lineRule="exact"/>
        <w:ind w:firstLineChars="200" w:firstLine="640"/>
        <w:rPr>
          <w:rFonts w:eastAsia="仿宋_GB2312"/>
          <w:sz w:val="32"/>
          <w:szCs w:val="28"/>
        </w:rPr>
      </w:pPr>
      <w:r>
        <w:rPr>
          <w:rFonts w:eastAsia="仿宋_GB2312"/>
          <w:sz w:val="32"/>
          <w:szCs w:val="28"/>
        </w:rPr>
        <w:t>3.</w:t>
      </w:r>
      <w:r>
        <w:rPr>
          <w:rFonts w:eastAsia="仿宋_GB2312" w:hint="eastAsia"/>
          <w:sz w:val="32"/>
          <w:szCs w:val="28"/>
        </w:rPr>
        <w:t>消化系统：恶心、腹痛、腹泻、转氨酶升高、消化道出血。</w:t>
      </w:r>
    </w:p>
    <w:p w:rsidR="007267B3" w:rsidRDefault="007267B3" w:rsidP="007267B3">
      <w:pPr>
        <w:spacing w:line="540" w:lineRule="exact"/>
        <w:ind w:firstLineChars="200" w:firstLine="640"/>
        <w:rPr>
          <w:rFonts w:eastAsia="仿宋_GB2312"/>
          <w:sz w:val="32"/>
          <w:szCs w:val="28"/>
        </w:rPr>
      </w:pPr>
      <w:r>
        <w:rPr>
          <w:rFonts w:eastAsia="仿宋_GB2312"/>
          <w:sz w:val="32"/>
          <w:szCs w:val="28"/>
        </w:rPr>
        <w:t>4.</w:t>
      </w:r>
      <w:r>
        <w:rPr>
          <w:rFonts w:eastAsia="仿宋_GB2312" w:hint="eastAsia"/>
          <w:sz w:val="32"/>
          <w:szCs w:val="28"/>
        </w:rPr>
        <w:t>皮肤及其附件：皮疹、瘙痒、过敏性紫癜。</w:t>
      </w:r>
    </w:p>
    <w:p w:rsidR="007267B3" w:rsidRDefault="007267B3" w:rsidP="007267B3">
      <w:pPr>
        <w:tabs>
          <w:tab w:val="center" w:pos="4873"/>
        </w:tabs>
        <w:spacing w:line="540" w:lineRule="exact"/>
        <w:ind w:firstLineChars="200" w:firstLine="640"/>
        <w:rPr>
          <w:rFonts w:eastAsia="仿宋_GB2312"/>
          <w:sz w:val="32"/>
          <w:szCs w:val="28"/>
        </w:rPr>
      </w:pPr>
      <w:r>
        <w:rPr>
          <w:rFonts w:eastAsia="仿宋_GB2312"/>
          <w:sz w:val="32"/>
          <w:szCs w:val="28"/>
        </w:rPr>
        <w:t>5.</w:t>
      </w:r>
      <w:r>
        <w:rPr>
          <w:rFonts w:eastAsia="仿宋_GB2312" w:hint="eastAsia"/>
          <w:sz w:val="32"/>
          <w:szCs w:val="28"/>
        </w:rPr>
        <w:t>神经系统：头昏、头痛。</w:t>
      </w:r>
      <w:r>
        <w:rPr>
          <w:rFonts w:eastAsia="仿宋_GB2312"/>
          <w:sz w:val="32"/>
          <w:szCs w:val="28"/>
        </w:rPr>
        <w:tab/>
      </w:r>
    </w:p>
    <w:p w:rsidR="007267B3" w:rsidRDefault="007267B3" w:rsidP="007267B3">
      <w:pPr>
        <w:spacing w:line="540" w:lineRule="exact"/>
        <w:ind w:firstLineChars="200" w:firstLine="640"/>
        <w:rPr>
          <w:rFonts w:eastAsia="仿宋_GB2312"/>
          <w:sz w:val="32"/>
          <w:szCs w:val="28"/>
        </w:rPr>
      </w:pPr>
      <w:r>
        <w:rPr>
          <w:rFonts w:eastAsia="仿宋_GB2312"/>
          <w:sz w:val="32"/>
          <w:szCs w:val="28"/>
        </w:rPr>
        <w:t>6.</w:t>
      </w:r>
      <w:r>
        <w:rPr>
          <w:rFonts w:eastAsia="仿宋_GB2312" w:hint="eastAsia"/>
          <w:sz w:val="32"/>
          <w:szCs w:val="28"/>
        </w:rPr>
        <w:t>其他：诱发精神失常。</w:t>
      </w:r>
    </w:p>
    <w:p w:rsidR="007267B3" w:rsidRDefault="007267B3" w:rsidP="007267B3">
      <w:pPr>
        <w:spacing w:line="540" w:lineRule="exact"/>
        <w:ind w:firstLineChars="200" w:firstLine="640"/>
        <w:rPr>
          <w:rFonts w:eastAsia="仿宋_GB2312"/>
          <w:sz w:val="32"/>
          <w:szCs w:val="28"/>
        </w:rPr>
      </w:pPr>
      <w:r>
        <w:rPr>
          <w:rFonts w:eastAsia="仿宋_GB2312" w:hint="eastAsia"/>
          <w:sz w:val="32"/>
          <w:szCs w:val="28"/>
        </w:rPr>
        <w:t>三、【禁忌】项应当包括：</w:t>
      </w:r>
    </w:p>
    <w:p w:rsidR="007267B3" w:rsidRDefault="007267B3" w:rsidP="007267B3">
      <w:pPr>
        <w:spacing w:line="540" w:lineRule="exact"/>
        <w:ind w:firstLineChars="200" w:firstLine="640"/>
        <w:rPr>
          <w:rFonts w:eastAsia="仿宋_GB2312"/>
          <w:sz w:val="32"/>
          <w:szCs w:val="28"/>
        </w:rPr>
      </w:pPr>
      <w:r>
        <w:rPr>
          <w:rFonts w:eastAsia="仿宋_GB2312"/>
          <w:sz w:val="32"/>
          <w:szCs w:val="28"/>
        </w:rPr>
        <w:t>1.</w:t>
      </w:r>
      <w:r>
        <w:rPr>
          <w:rFonts w:eastAsia="仿宋_GB2312" w:hint="eastAsia"/>
          <w:sz w:val="32"/>
          <w:szCs w:val="28"/>
        </w:rPr>
        <w:t>眼囊虫病患者禁用。</w:t>
      </w:r>
    </w:p>
    <w:p w:rsidR="007267B3" w:rsidRDefault="007267B3" w:rsidP="007267B3">
      <w:pPr>
        <w:spacing w:line="540" w:lineRule="exact"/>
        <w:ind w:firstLineChars="200" w:firstLine="640"/>
        <w:rPr>
          <w:rFonts w:eastAsia="仿宋_GB2312"/>
          <w:sz w:val="32"/>
          <w:szCs w:val="28"/>
        </w:rPr>
      </w:pPr>
      <w:r>
        <w:rPr>
          <w:rFonts w:eastAsia="仿宋_GB2312"/>
          <w:sz w:val="32"/>
          <w:szCs w:val="28"/>
        </w:rPr>
        <w:t>2.</w:t>
      </w:r>
      <w:r>
        <w:rPr>
          <w:rFonts w:eastAsia="仿宋_GB2312" w:hint="eastAsia"/>
          <w:sz w:val="32"/>
          <w:szCs w:val="28"/>
        </w:rPr>
        <w:t>禁用于对本药或药物辅料过敏的患者。</w:t>
      </w:r>
    </w:p>
    <w:p w:rsidR="007267B3" w:rsidRDefault="007267B3" w:rsidP="007267B3">
      <w:pPr>
        <w:spacing w:line="540" w:lineRule="exact"/>
        <w:ind w:firstLineChars="200" w:firstLine="640"/>
        <w:rPr>
          <w:rFonts w:eastAsia="仿宋_GB2312"/>
          <w:sz w:val="32"/>
          <w:szCs w:val="28"/>
        </w:rPr>
      </w:pPr>
      <w:r>
        <w:rPr>
          <w:rFonts w:eastAsia="仿宋_GB2312"/>
          <w:sz w:val="32"/>
          <w:szCs w:val="28"/>
        </w:rPr>
        <w:t>3.</w:t>
      </w:r>
      <w:r>
        <w:rPr>
          <w:rFonts w:eastAsia="仿宋_GB2312" w:hint="eastAsia"/>
          <w:sz w:val="32"/>
          <w:szCs w:val="28"/>
        </w:rPr>
        <w:t>禁止同时应用细胞色素</w:t>
      </w:r>
      <w:r>
        <w:rPr>
          <w:rFonts w:eastAsia="仿宋_GB2312"/>
          <w:sz w:val="32"/>
          <w:szCs w:val="28"/>
        </w:rPr>
        <w:t>P450</w:t>
      </w:r>
      <w:r>
        <w:rPr>
          <w:rFonts w:eastAsia="仿宋_GB2312" w:hint="eastAsia"/>
          <w:sz w:val="32"/>
          <w:szCs w:val="28"/>
        </w:rPr>
        <w:t>强诱导剂，如利福平。</w:t>
      </w:r>
    </w:p>
    <w:p w:rsidR="007267B3" w:rsidRDefault="007267B3" w:rsidP="007267B3">
      <w:pPr>
        <w:spacing w:line="540" w:lineRule="exact"/>
        <w:ind w:firstLineChars="200" w:firstLine="640"/>
        <w:rPr>
          <w:rFonts w:eastAsia="仿宋_GB2312"/>
          <w:sz w:val="32"/>
          <w:szCs w:val="28"/>
        </w:rPr>
      </w:pPr>
      <w:r>
        <w:rPr>
          <w:rFonts w:eastAsia="仿宋_GB2312" w:hint="eastAsia"/>
          <w:sz w:val="32"/>
          <w:szCs w:val="28"/>
        </w:rPr>
        <w:t>四、【注意事项】应当包括：</w:t>
      </w:r>
    </w:p>
    <w:p w:rsidR="007267B3" w:rsidRDefault="007267B3" w:rsidP="007267B3">
      <w:pPr>
        <w:spacing w:line="540" w:lineRule="exact"/>
        <w:ind w:firstLineChars="200" w:firstLine="640"/>
        <w:rPr>
          <w:rFonts w:eastAsia="仿宋_GB2312"/>
          <w:sz w:val="32"/>
          <w:szCs w:val="28"/>
        </w:rPr>
      </w:pPr>
      <w:r>
        <w:rPr>
          <w:rFonts w:eastAsia="仿宋_GB2312"/>
          <w:sz w:val="32"/>
          <w:szCs w:val="28"/>
        </w:rPr>
        <w:t>1.</w:t>
      </w:r>
      <w:r>
        <w:rPr>
          <w:rFonts w:eastAsia="仿宋_GB2312" w:hint="eastAsia"/>
          <w:sz w:val="32"/>
          <w:szCs w:val="28"/>
        </w:rPr>
        <w:t>治疗寄生于组织内的寄生虫如血吸虫、肺吸虫、囊虫等，由于虫体被杀死后释放出大量的抗原物质，可引起发热、嗜酸粒细胞增多、皮疹等，偶可引起过敏性休克，必须注意观察。</w:t>
      </w:r>
    </w:p>
    <w:p w:rsidR="007267B3" w:rsidRDefault="007267B3" w:rsidP="007267B3">
      <w:pPr>
        <w:spacing w:line="540" w:lineRule="exact"/>
        <w:ind w:firstLineChars="200" w:firstLine="640"/>
        <w:rPr>
          <w:rFonts w:eastAsia="仿宋_GB2312"/>
          <w:sz w:val="32"/>
          <w:szCs w:val="28"/>
        </w:rPr>
      </w:pPr>
      <w:r>
        <w:rPr>
          <w:rFonts w:eastAsia="仿宋_GB2312"/>
          <w:sz w:val="32"/>
          <w:szCs w:val="28"/>
        </w:rPr>
        <w:lastRenderedPageBreak/>
        <w:t>2.</w:t>
      </w:r>
      <w:r>
        <w:rPr>
          <w:rFonts w:eastAsia="仿宋_GB2312" w:hint="eastAsia"/>
          <w:sz w:val="32"/>
          <w:szCs w:val="28"/>
        </w:rPr>
        <w:t>脑囊虫病患者需住院治疗，并辅以防治脑水肿和降低高颅压（应用地塞米松和脱水剂）或防治癫痫持续状态的治疗措施，以防发生意外。</w:t>
      </w:r>
    </w:p>
    <w:p w:rsidR="007267B3" w:rsidRDefault="007267B3" w:rsidP="007267B3">
      <w:pPr>
        <w:spacing w:line="540" w:lineRule="exact"/>
        <w:ind w:firstLineChars="200" w:firstLine="640"/>
        <w:rPr>
          <w:rFonts w:eastAsia="仿宋_GB2312"/>
          <w:sz w:val="32"/>
          <w:szCs w:val="28"/>
        </w:rPr>
      </w:pPr>
      <w:r>
        <w:rPr>
          <w:rFonts w:eastAsia="仿宋_GB2312"/>
          <w:sz w:val="32"/>
          <w:szCs w:val="28"/>
        </w:rPr>
        <w:t>3.</w:t>
      </w:r>
      <w:r>
        <w:rPr>
          <w:rFonts w:eastAsia="仿宋_GB2312" w:hint="eastAsia"/>
          <w:sz w:val="32"/>
          <w:szCs w:val="28"/>
        </w:rPr>
        <w:t>合并眼囊虫病时，须先手术摘除虫体，而后进行药物治疗。</w:t>
      </w:r>
    </w:p>
    <w:p w:rsidR="007267B3" w:rsidRDefault="007267B3" w:rsidP="007267B3">
      <w:pPr>
        <w:spacing w:line="540" w:lineRule="exact"/>
        <w:ind w:firstLineChars="200" w:firstLine="640"/>
        <w:rPr>
          <w:rFonts w:eastAsia="仿宋_GB2312"/>
          <w:sz w:val="32"/>
          <w:szCs w:val="28"/>
        </w:rPr>
      </w:pPr>
      <w:r>
        <w:rPr>
          <w:rFonts w:eastAsia="仿宋_GB2312"/>
          <w:sz w:val="32"/>
          <w:szCs w:val="28"/>
        </w:rPr>
        <w:t>4.</w:t>
      </w:r>
      <w:r>
        <w:rPr>
          <w:rFonts w:eastAsia="仿宋_GB2312" w:hint="eastAsia"/>
          <w:sz w:val="32"/>
          <w:szCs w:val="28"/>
        </w:rPr>
        <w:t>严重心、肝、肾患者及有精神病史者慎用。</w:t>
      </w:r>
    </w:p>
    <w:p w:rsidR="007267B3" w:rsidRDefault="007267B3" w:rsidP="007267B3">
      <w:pPr>
        <w:spacing w:line="540" w:lineRule="exact"/>
        <w:ind w:firstLineChars="200" w:firstLine="640"/>
        <w:rPr>
          <w:rFonts w:eastAsia="仿宋_GB2312"/>
          <w:sz w:val="32"/>
          <w:szCs w:val="28"/>
        </w:rPr>
      </w:pPr>
      <w:r>
        <w:rPr>
          <w:rFonts w:eastAsia="仿宋_GB2312"/>
          <w:sz w:val="32"/>
          <w:szCs w:val="28"/>
        </w:rPr>
        <w:t>5.</w:t>
      </w:r>
      <w:r>
        <w:rPr>
          <w:rFonts w:eastAsia="仿宋_GB2312" w:hint="eastAsia"/>
          <w:sz w:val="32"/>
          <w:szCs w:val="28"/>
        </w:rPr>
        <w:t>有明显头昏、嗜睡等神经系统反应者，治疗期间与停药后</w:t>
      </w:r>
      <w:r>
        <w:rPr>
          <w:rFonts w:eastAsia="仿宋_GB2312"/>
          <w:sz w:val="32"/>
          <w:szCs w:val="28"/>
        </w:rPr>
        <w:t>24</w:t>
      </w:r>
      <w:r>
        <w:rPr>
          <w:rFonts w:eastAsia="仿宋_GB2312" w:hint="eastAsia"/>
          <w:sz w:val="32"/>
          <w:szCs w:val="28"/>
        </w:rPr>
        <w:t>小时内勿进行驾驶、机械操作等工作。</w:t>
      </w:r>
    </w:p>
    <w:p w:rsidR="007267B3" w:rsidRDefault="007267B3" w:rsidP="007267B3">
      <w:pPr>
        <w:spacing w:line="540" w:lineRule="exact"/>
        <w:ind w:firstLineChars="200" w:firstLine="640"/>
        <w:rPr>
          <w:rFonts w:eastAsia="仿宋_GB2312"/>
          <w:sz w:val="32"/>
          <w:szCs w:val="28"/>
        </w:rPr>
      </w:pPr>
      <w:r>
        <w:rPr>
          <w:rFonts w:eastAsia="仿宋_GB2312"/>
          <w:sz w:val="32"/>
          <w:szCs w:val="28"/>
        </w:rPr>
        <w:t>6.</w:t>
      </w:r>
      <w:r>
        <w:rPr>
          <w:rFonts w:eastAsia="仿宋_GB2312" w:hint="eastAsia"/>
          <w:sz w:val="32"/>
          <w:szCs w:val="28"/>
        </w:rPr>
        <w:t>在囊虫病驱除带绦虫时，需应将隐性脑囊虫病除外，以免发生意外。</w:t>
      </w:r>
    </w:p>
    <w:p w:rsidR="007267B3" w:rsidRDefault="007267B3" w:rsidP="007267B3">
      <w:pPr>
        <w:spacing w:line="540" w:lineRule="exact"/>
        <w:ind w:firstLineChars="200" w:firstLine="640"/>
        <w:rPr>
          <w:rFonts w:eastAsia="仿宋_GB2312"/>
          <w:sz w:val="32"/>
          <w:szCs w:val="28"/>
        </w:rPr>
      </w:pPr>
      <w:r>
        <w:rPr>
          <w:rFonts w:eastAsia="仿宋_GB2312"/>
          <w:sz w:val="32"/>
          <w:szCs w:val="28"/>
        </w:rPr>
        <w:t>7.</w:t>
      </w:r>
      <w:r>
        <w:rPr>
          <w:rFonts w:eastAsia="仿宋_GB2312" w:hint="eastAsia"/>
          <w:sz w:val="32"/>
          <w:szCs w:val="28"/>
        </w:rPr>
        <w:t>本品会加剧由血吸虫病引起的中枢神经系统病变，故此药一般不应给予曾有癫痫病史的患者和</w:t>
      </w:r>
      <w:r>
        <w:rPr>
          <w:rFonts w:eastAsia="仿宋_GB2312"/>
          <w:sz w:val="32"/>
          <w:szCs w:val="28"/>
        </w:rPr>
        <w:t>/</w:t>
      </w:r>
      <w:r>
        <w:rPr>
          <w:rFonts w:eastAsia="仿宋_GB2312" w:hint="eastAsia"/>
          <w:sz w:val="32"/>
          <w:szCs w:val="28"/>
        </w:rPr>
        <w:t>或有潜在中枢神经系统其他症状的患者，如囊虫病皮下结节。</w:t>
      </w:r>
    </w:p>
    <w:p w:rsidR="00D65F26" w:rsidRPr="00664BCC" w:rsidRDefault="007267B3" w:rsidP="00664BCC">
      <w:pPr>
        <w:spacing w:line="540" w:lineRule="exact"/>
        <w:ind w:firstLineChars="200" w:firstLine="640"/>
        <w:rPr>
          <w:rFonts w:eastAsia="仿宋_GB2312"/>
          <w:sz w:val="32"/>
          <w:szCs w:val="28"/>
        </w:rPr>
      </w:pPr>
      <w:r>
        <w:rPr>
          <w:rFonts w:eastAsia="仿宋_GB2312"/>
          <w:sz w:val="32"/>
          <w:szCs w:val="28"/>
        </w:rPr>
        <w:t>8.</w:t>
      </w:r>
      <w:r>
        <w:rPr>
          <w:rFonts w:eastAsia="仿宋_GB2312" w:hint="eastAsia"/>
          <w:sz w:val="32"/>
          <w:szCs w:val="28"/>
        </w:rPr>
        <w:t>接受利福平治疗而又急需寄生虫药物治疗的患者，应考虑使用其他制剂治疗。但是，如果必须用吡喹酮治疗，应在给药前停用利福平</w:t>
      </w:r>
      <w:r>
        <w:rPr>
          <w:rFonts w:eastAsia="仿宋_GB2312"/>
          <w:sz w:val="32"/>
          <w:szCs w:val="28"/>
        </w:rPr>
        <w:t>4</w:t>
      </w:r>
      <w:r>
        <w:rPr>
          <w:rFonts w:eastAsia="仿宋_GB2312" w:hint="eastAsia"/>
          <w:sz w:val="32"/>
          <w:szCs w:val="28"/>
        </w:rPr>
        <w:t>周。在完成吡喹酮治疗后的</w:t>
      </w:r>
      <w:r>
        <w:rPr>
          <w:rFonts w:eastAsia="仿宋_GB2312"/>
          <w:sz w:val="32"/>
          <w:szCs w:val="28"/>
        </w:rPr>
        <w:t>1</w:t>
      </w:r>
      <w:r>
        <w:rPr>
          <w:rFonts w:eastAsia="仿宋_GB2312" w:hint="eastAsia"/>
          <w:sz w:val="32"/>
          <w:szCs w:val="28"/>
        </w:rPr>
        <w:t>天，即可恢复利福平的治疗。</w:t>
      </w:r>
      <w:bookmarkStart w:id="0" w:name="_GoBack"/>
      <w:bookmarkEnd w:id="0"/>
    </w:p>
    <w:sectPr w:rsidR="00D65F26" w:rsidRPr="00664BCC" w:rsidSect="00F4605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6083" w:rsidRDefault="00B76083" w:rsidP="00664BCC">
      <w:r>
        <w:separator/>
      </w:r>
    </w:p>
  </w:endnote>
  <w:endnote w:type="continuationSeparator" w:id="1">
    <w:p w:rsidR="00B76083" w:rsidRDefault="00B76083" w:rsidP="00664B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6083" w:rsidRDefault="00B76083" w:rsidP="00664BCC">
      <w:r>
        <w:separator/>
      </w:r>
    </w:p>
  </w:footnote>
  <w:footnote w:type="continuationSeparator" w:id="1">
    <w:p w:rsidR="00B76083" w:rsidRDefault="00B76083" w:rsidP="00664BC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C7109"/>
    <w:rsid w:val="005C7109"/>
    <w:rsid w:val="00664BCC"/>
    <w:rsid w:val="007267B3"/>
    <w:rsid w:val="00B76083"/>
    <w:rsid w:val="00D65F26"/>
    <w:rsid w:val="00F460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7B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267B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7267B3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664BC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664BCC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664BC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664BCC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7B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267B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7267B3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5FC123-EC85-4C30-8FF8-62F832411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114</Words>
  <Characters>651</Characters>
  <Application>Microsoft Office Word</Application>
  <DocSecurity>0</DocSecurity>
  <Lines>5</Lines>
  <Paragraphs>1</Paragraphs>
  <ScaleCrop>false</ScaleCrop>
  <Company>CFDA</Company>
  <LinksUpToDate>false</LinksUpToDate>
  <CharactersWithSpaces>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耿欣</dc:creator>
  <cp:lastModifiedBy>wxl</cp:lastModifiedBy>
  <cp:revision>2</cp:revision>
  <dcterms:created xsi:type="dcterms:W3CDTF">2016-09-12T09:47:00Z</dcterms:created>
  <dcterms:modified xsi:type="dcterms:W3CDTF">2016-09-12T09:47:00Z</dcterms:modified>
</cp:coreProperties>
</file>