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96" w:rsidRPr="00347488" w:rsidRDefault="00E51296" w:rsidP="00E51296">
      <w:pPr>
        <w:rPr>
          <w:rFonts w:ascii="黑体" w:eastAsia="黑体" w:hAnsi="华文仿宋"/>
          <w:sz w:val="32"/>
          <w:szCs w:val="32"/>
        </w:rPr>
      </w:pPr>
      <w:r w:rsidRPr="00347488">
        <w:rPr>
          <w:rFonts w:ascii="黑体" w:eastAsia="黑体" w:hAnsi="华文仿宋" w:hint="eastAsia"/>
          <w:sz w:val="32"/>
          <w:szCs w:val="32"/>
        </w:rPr>
        <w:t>附件</w:t>
      </w:r>
    </w:p>
    <w:p w:rsidR="00E51296" w:rsidRPr="00347488" w:rsidRDefault="00E51296" w:rsidP="00E51296">
      <w:pPr>
        <w:rPr>
          <w:rFonts w:ascii="黑体" w:eastAsia="黑体" w:hAnsi="华文仿宋"/>
          <w:sz w:val="32"/>
          <w:szCs w:val="32"/>
        </w:rPr>
      </w:pPr>
    </w:p>
    <w:p w:rsidR="00E51296" w:rsidRPr="00347488" w:rsidRDefault="00E51296" w:rsidP="00E51296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肾衰宁制剂</w:t>
      </w:r>
      <w:r w:rsidRPr="00347488">
        <w:rPr>
          <w:rFonts w:ascii="方正小标宋简体" w:eastAsia="方正小标宋简体" w:hAnsi="仿宋" w:hint="eastAsia"/>
          <w:sz w:val="44"/>
          <w:szCs w:val="44"/>
        </w:rPr>
        <w:t>说明书修订要求</w:t>
      </w:r>
    </w:p>
    <w:p w:rsidR="00E51296" w:rsidRPr="00347488" w:rsidRDefault="00E51296" w:rsidP="00E51296">
      <w:pPr>
        <w:spacing w:line="400" w:lineRule="exact"/>
      </w:pPr>
    </w:p>
    <w:p w:rsidR="00E51296" w:rsidRPr="009A3E39" w:rsidRDefault="00E51296" w:rsidP="00E51296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A3E39">
        <w:rPr>
          <w:rFonts w:ascii="黑体" w:eastAsia="黑体" w:hAnsi="黑体"/>
          <w:sz w:val="32"/>
          <w:szCs w:val="32"/>
        </w:rPr>
        <w:t>一、</w:t>
      </w:r>
      <w:r w:rsidRPr="009A3E39">
        <w:rPr>
          <w:rFonts w:ascii="黑体" w:eastAsia="黑体" w:hAnsi="黑体" w:hint="eastAsia"/>
          <w:sz w:val="32"/>
          <w:szCs w:val="32"/>
        </w:rPr>
        <w:t>警示语应包括：</w:t>
      </w:r>
    </w:p>
    <w:p w:rsidR="00E51296" w:rsidRPr="00573F1C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73F1C">
        <w:rPr>
          <w:rFonts w:eastAsia="仿宋_GB2312" w:hint="eastAsia"/>
          <w:sz w:val="32"/>
          <w:szCs w:val="32"/>
        </w:rPr>
        <w:t>本品含半夏</w:t>
      </w:r>
      <w:r>
        <w:rPr>
          <w:rFonts w:eastAsia="仿宋_GB2312" w:hint="eastAsia"/>
          <w:sz w:val="32"/>
          <w:szCs w:val="32"/>
        </w:rPr>
        <w:t>（</w:t>
      </w:r>
      <w:r w:rsidRPr="00573F1C">
        <w:rPr>
          <w:rFonts w:eastAsia="仿宋_GB2312" w:hint="eastAsia"/>
          <w:sz w:val="32"/>
          <w:szCs w:val="32"/>
        </w:rPr>
        <w:t>制</w:t>
      </w:r>
      <w:r>
        <w:rPr>
          <w:rFonts w:eastAsia="仿宋_GB2312" w:hint="eastAsia"/>
          <w:sz w:val="32"/>
          <w:szCs w:val="32"/>
        </w:rPr>
        <w:t>）</w:t>
      </w:r>
      <w:r w:rsidRPr="00573F1C">
        <w:rPr>
          <w:rFonts w:eastAsia="仿宋_GB2312" w:hint="eastAsia"/>
          <w:sz w:val="32"/>
          <w:szCs w:val="32"/>
        </w:rPr>
        <w:t>/</w:t>
      </w:r>
      <w:r w:rsidRPr="00573F1C">
        <w:rPr>
          <w:rFonts w:eastAsia="仿宋_GB2312" w:hint="eastAsia"/>
          <w:sz w:val="32"/>
          <w:szCs w:val="32"/>
        </w:rPr>
        <w:t>法半夏</w:t>
      </w:r>
      <w:r>
        <w:rPr>
          <w:rFonts w:eastAsia="仿宋_GB2312" w:hint="eastAsia"/>
          <w:sz w:val="32"/>
          <w:szCs w:val="32"/>
        </w:rPr>
        <w:t>（</w:t>
      </w:r>
      <w:r w:rsidRPr="00573F1C">
        <w:rPr>
          <w:rFonts w:eastAsia="仿宋_GB2312" w:hint="eastAsia"/>
          <w:sz w:val="32"/>
          <w:szCs w:val="32"/>
        </w:rPr>
        <w:t>应根据实际处方填写</w:t>
      </w:r>
      <w:r>
        <w:rPr>
          <w:rFonts w:eastAsia="仿宋_GB2312" w:hint="eastAsia"/>
          <w:sz w:val="32"/>
          <w:szCs w:val="32"/>
        </w:rPr>
        <w:t>）</w:t>
      </w:r>
    </w:p>
    <w:p w:rsidR="00E51296" w:rsidRPr="009A3E39" w:rsidRDefault="00E51296" w:rsidP="00E51296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A3E39">
        <w:rPr>
          <w:rFonts w:ascii="黑体" w:eastAsia="黑体" w:hAnsi="黑体" w:hint="eastAsia"/>
          <w:sz w:val="32"/>
          <w:szCs w:val="32"/>
        </w:rPr>
        <w:t>二、</w:t>
      </w:r>
      <w:r w:rsidRPr="009A3E39">
        <w:rPr>
          <w:rFonts w:ascii="黑体" w:eastAsia="黑体" w:hAnsi="黑体"/>
          <w:sz w:val="32"/>
          <w:szCs w:val="32"/>
        </w:rPr>
        <w:t>【不良反应】项应包括</w:t>
      </w:r>
      <w:r w:rsidRPr="009A3E39">
        <w:rPr>
          <w:rFonts w:ascii="黑体" w:eastAsia="黑体" w:hAnsi="黑体" w:hint="eastAsia"/>
          <w:sz w:val="32"/>
          <w:szCs w:val="32"/>
        </w:rPr>
        <w:t>：</w:t>
      </w:r>
    </w:p>
    <w:p w:rsidR="00E51296" w:rsidRPr="00347488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恶心、呕吐、腹痛、腹泻、腹胀、大便次数增加、皮疹</w:t>
      </w:r>
      <w:r w:rsidRPr="00573F1C"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瘙痒</w:t>
      </w:r>
      <w:r w:rsidRPr="00573F1C">
        <w:rPr>
          <w:rFonts w:eastAsia="仿宋_GB2312" w:hint="eastAsia"/>
          <w:sz w:val="32"/>
          <w:szCs w:val="32"/>
        </w:rPr>
        <w:t>等。有头晕、乏力、心悸等个案报告。</w:t>
      </w:r>
    </w:p>
    <w:p w:rsidR="00E51296" w:rsidRPr="009A3E39" w:rsidRDefault="00E51296" w:rsidP="00E51296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A3E39">
        <w:rPr>
          <w:rFonts w:ascii="黑体" w:eastAsia="黑体" w:hAnsi="黑体" w:hint="eastAsia"/>
          <w:sz w:val="32"/>
          <w:szCs w:val="32"/>
        </w:rPr>
        <w:t>三</w:t>
      </w:r>
      <w:r w:rsidRPr="009A3E39">
        <w:rPr>
          <w:rFonts w:ascii="黑体" w:eastAsia="黑体" w:hAnsi="黑体"/>
          <w:sz w:val="32"/>
          <w:szCs w:val="32"/>
        </w:rPr>
        <w:t>、【禁忌】项应包括</w:t>
      </w:r>
      <w:r w:rsidRPr="009A3E39">
        <w:rPr>
          <w:rFonts w:ascii="黑体" w:eastAsia="黑体" w:hAnsi="黑体" w:hint="eastAsia"/>
          <w:sz w:val="32"/>
          <w:szCs w:val="32"/>
        </w:rPr>
        <w:t>：</w:t>
      </w:r>
    </w:p>
    <w:p w:rsidR="00E51296" w:rsidRPr="00573F1C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73F1C">
        <w:rPr>
          <w:rFonts w:eastAsia="仿宋_GB2312" w:hint="eastAsia"/>
          <w:sz w:val="32"/>
          <w:szCs w:val="32"/>
        </w:rPr>
        <w:t>孕妇禁用</w:t>
      </w:r>
      <w:r>
        <w:rPr>
          <w:rFonts w:eastAsia="仿宋_GB2312" w:hint="eastAsia"/>
          <w:sz w:val="32"/>
          <w:szCs w:val="32"/>
        </w:rPr>
        <w:t>；</w:t>
      </w:r>
      <w:r w:rsidRPr="00573F1C">
        <w:rPr>
          <w:rFonts w:eastAsia="仿宋_GB2312" w:hint="eastAsia"/>
          <w:sz w:val="32"/>
          <w:szCs w:val="32"/>
        </w:rPr>
        <w:t>有出血倾向者禁用。</w:t>
      </w:r>
    </w:p>
    <w:p w:rsidR="00E51296" w:rsidRPr="009A3E39" w:rsidRDefault="00E51296" w:rsidP="00E51296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A3E39">
        <w:rPr>
          <w:rFonts w:ascii="黑体" w:eastAsia="黑体" w:hAnsi="黑体" w:hint="eastAsia"/>
          <w:sz w:val="32"/>
          <w:szCs w:val="32"/>
        </w:rPr>
        <w:t>四</w:t>
      </w:r>
      <w:r w:rsidRPr="009A3E39">
        <w:rPr>
          <w:rFonts w:ascii="黑体" w:eastAsia="黑体" w:hAnsi="黑体"/>
          <w:sz w:val="32"/>
          <w:szCs w:val="32"/>
        </w:rPr>
        <w:t>、【注意事项】项应包括</w:t>
      </w:r>
      <w:r w:rsidRPr="009A3E39">
        <w:rPr>
          <w:rFonts w:ascii="黑体" w:eastAsia="黑体" w:hAnsi="黑体" w:hint="eastAsia"/>
          <w:sz w:val="32"/>
          <w:szCs w:val="32"/>
        </w:rPr>
        <w:t>：</w:t>
      </w:r>
    </w:p>
    <w:p w:rsidR="00E51296" w:rsidRPr="00591598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347488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</w:t>
      </w:r>
      <w:r w:rsidRPr="009A3E39">
        <w:rPr>
          <w:rFonts w:eastAsia="仿宋_GB2312" w:hint="eastAsia"/>
          <w:spacing w:val="6"/>
          <w:sz w:val="32"/>
          <w:szCs w:val="32"/>
        </w:rPr>
        <w:t>服药后大便次数超过</w:t>
      </w:r>
      <w:r w:rsidRPr="009A3E39">
        <w:rPr>
          <w:rFonts w:eastAsia="仿宋_GB2312" w:hint="eastAsia"/>
          <w:spacing w:val="6"/>
          <w:sz w:val="32"/>
          <w:szCs w:val="32"/>
        </w:rPr>
        <w:t>4</w:t>
      </w:r>
      <w:r w:rsidRPr="009A3E39">
        <w:rPr>
          <w:rFonts w:eastAsia="仿宋_GB2312" w:hint="eastAsia"/>
          <w:spacing w:val="6"/>
          <w:sz w:val="32"/>
          <w:szCs w:val="32"/>
        </w:rPr>
        <w:t>次者需减量服用，并请咨询医生</w:t>
      </w:r>
      <w:r w:rsidRPr="00591598">
        <w:rPr>
          <w:rFonts w:eastAsia="仿宋_GB2312" w:hint="eastAsia"/>
          <w:sz w:val="32"/>
          <w:szCs w:val="32"/>
        </w:rPr>
        <w:t>/</w:t>
      </w:r>
      <w:r w:rsidRPr="00591598">
        <w:rPr>
          <w:rFonts w:eastAsia="仿宋_GB2312" w:hint="eastAsia"/>
          <w:sz w:val="32"/>
          <w:szCs w:val="32"/>
        </w:rPr>
        <w:t>药师。</w:t>
      </w:r>
    </w:p>
    <w:p w:rsidR="00E51296" w:rsidRPr="00591598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91598">
        <w:rPr>
          <w:rFonts w:eastAsia="仿宋_GB2312" w:hint="eastAsia"/>
          <w:sz w:val="32"/>
          <w:szCs w:val="32"/>
        </w:rPr>
        <w:t>2</w:t>
      </w:r>
      <w:r w:rsidRPr="00591598">
        <w:rPr>
          <w:rFonts w:eastAsia="仿宋_GB2312" w:hint="eastAsia"/>
          <w:sz w:val="32"/>
          <w:szCs w:val="32"/>
        </w:rPr>
        <w:t>．小儿必须在成人监护下服用或遵医嘱。</w:t>
      </w:r>
    </w:p>
    <w:p w:rsidR="00E51296" w:rsidRPr="00591598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91598">
        <w:rPr>
          <w:rFonts w:eastAsia="仿宋_GB2312" w:hint="eastAsia"/>
          <w:sz w:val="32"/>
          <w:szCs w:val="32"/>
        </w:rPr>
        <w:t>3</w:t>
      </w:r>
      <w:r w:rsidRPr="00591598">
        <w:rPr>
          <w:rFonts w:eastAsia="仿宋_GB2312" w:hint="eastAsia"/>
          <w:sz w:val="32"/>
          <w:szCs w:val="32"/>
        </w:rPr>
        <w:t>．以下情况患者慎用：脾胃虚寒、服药前大便次数超过</w:t>
      </w:r>
      <w:r w:rsidRPr="00591598">
        <w:rPr>
          <w:rFonts w:eastAsia="仿宋_GB2312" w:hint="eastAsia"/>
          <w:sz w:val="32"/>
          <w:szCs w:val="32"/>
        </w:rPr>
        <w:t>4</w:t>
      </w:r>
      <w:r w:rsidRPr="00591598">
        <w:rPr>
          <w:rFonts w:eastAsia="仿宋_GB2312" w:hint="eastAsia"/>
          <w:sz w:val="32"/>
          <w:szCs w:val="32"/>
        </w:rPr>
        <w:t>次、高钾血症、哺乳期及月经期妇女。</w:t>
      </w:r>
    </w:p>
    <w:p w:rsidR="00E51296" w:rsidRPr="00591598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91598">
        <w:rPr>
          <w:rFonts w:eastAsia="仿宋_GB2312" w:hint="eastAsia"/>
          <w:sz w:val="32"/>
          <w:szCs w:val="32"/>
        </w:rPr>
        <w:t>4</w:t>
      </w:r>
      <w:r w:rsidRPr="00591598">
        <w:rPr>
          <w:rFonts w:eastAsia="仿宋_GB2312" w:hint="eastAsia"/>
          <w:sz w:val="32"/>
          <w:szCs w:val="32"/>
        </w:rPr>
        <w:t>．由于处方中含半夏，根据中医十九畏十八反，慎与乌头碱类药物合用或遵医嘱。</w:t>
      </w:r>
    </w:p>
    <w:p w:rsidR="00E51296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91598">
        <w:rPr>
          <w:rFonts w:eastAsia="仿宋_GB2312" w:hint="eastAsia"/>
          <w:sz w:val="32"/>
          <w:szCs w:val="32"/>
        </w:rPr>
        <w:t>5</w:t>
      </w:r>
      <w:r w:rsidRPr="00591598">
        <w:rPr>
          <w:rFonts w:eastAsia="仿宋_GB2312" w:hint="eastAsia"/>
          <w:sz w:val="32"/>
          <w:szCs w:val="32"/>
        </w:rPr>
        <w:t>．不建议与其</w:t>
      </w:r>
      <w:r>
        <w:rPr>
          <w:rFonts w:eastAsia="仿宋_GB2312" w:hint="eastAsia"/>
          <w:sz w:val="32"/>
          <w:szCs w:val="32"/>
        </w:rPr>
        <w:t>他</w:t>
      </w:r>
      <w:r w:rsidRPr="00591598">
        <w:rPr>
          <w:rFonts w:eastAsia="仿宋_GB2312" w:hint="eastAsia"/>
          <w:sz w:val="32"/>
          <w:szCs w:val="32"/>
        </w:rPr>
        <w:t>含大黄制剂同用。</w:t>
      </w:r>
    </w:p>
    <w:p w:rsidR="00E51296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591598">
        <w:rPr>
          <w:rFonts w:eastAsia="仿宋_GB2312" w:hint="eastAsia"/>
          <w:sz w:val="32"/>
          <w:szCs w:val="32"/>
        </w:rPr>
        <w:t>6</w:t>
      </w:r>
      <w:r w:rsidRPr="00591598">
        <w:rPr>
          <w:rFonts w:eastAsia="仿宋_GB2312" w:hint="eastAsia"/>
          <w:sz w:val="32"/>
          <w:szCs w:val="32"/>
        </w:rPr>
        <w:t>．药品保存时应避免高温、阳光直射。</w:t>
      </w:r>
    </w:p>
    <w:p w:rsidR="00E51296" w:rsidRDefault="00E51296" w:rsidP="00E5129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</w:p>
    <w:p w:rsidR="00362F15" w:rsidRPr="00E51296" w:rsidRDefault="00167466" w:rsidP="00E51296">
      <w:pPr>
        <w:spacing w:line="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8" type="#_x0000_t202" style="position:absolute;left:0;text-align:left;margin-left:-7.55pt;margin-top:9.85pt;width:96pt;height:30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" strokecolor="white">
            <v:textbox>
              <w:txbxContent>
                <w:p w:rsidR="00E51296" w:rsidRDefault="00E51296" w:rsidP="00E51296"/>
              </w:txbxContent>
            </v:textbox>
          </v:shape>
        </w:pict>
      </w:r>
    </w:p>
    <w:sectPr w:rsidR="00362F15" w:rsidRPr="00E51296" w:rsidSect="009A3E39">
      <w:footerReference w:type="even" r:id="rId6"/>
      <w:footerReference w:type="default" r:id="rId7"/>
      <w:pgSz w:w="11906" w:h="16838"/>
      <w:pgMar w:top="1985" w:right="1531" w:bottom="1985" w:left="1531" w:header="851" w:footer="141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AE6" w:rsidRDefault="00BC7AE6" w:rsidP="00E51296">
      <w:r>
        <w:separator/>
      </w:r>
    </w:p>
  </w:endnote>
  <w:endnote w:type="continuationSeparator" w:id="1">
    <w:p w:rsidR="00BC7AE6" w:rsidRDefault="00BC7AE6" w:rsidP="00E512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E" w:rsidRPr="009A3E39" w:rsidRDefault="00704594">
    <w:pPr>
      <w:pStyle w:val="a4"/>
      <w:rPr>
        <w:sz w:val="28"/>
        <w:szCs w:val="28"/>
      </w:rPr>
    </w:pPr>
    <w:r w:rsidRPr="009A3E39">
      <w:rPr>
        <w:rFonts w:hint="eastAsia"/>
        <w:color w:val="FFFFFF"/>
        <w:sz w:val="28"/>
        <w:szCs w:val="28"/>
      </w:rPr>
      <w:t>—</w:t>
    </w:r>
    <w:r w:rsidRPr="009A3E39">
      <w:rPr>
        <w:rFonts w:hint="eastAsia"/>
        <w:sz w:val="28"/>
        <w:szCs w:val="28"/>
      </w:rPr>
      <w:t>—</w:t>
    </w:r>
    <w:r w:rsidR="00167466" w:rsidRPr="009A3E39">
      <w:rPr>
        <w:sz w:val="28"/>
        <w:szCs w:val="28"/>
      </w:rPr>
      <w:fldChar w:fldCharType="begin"/>
    </w:r>
    <w:r w:rsidRPr="009A3E39">
      <w:rPr>
        <w:sz w:val="28"/>
        <w:szCs w:val="28"/>
      </w:rPr>
      <w:instrText>PAGE   \* MERGEFORMAT</w:instrText>
    </w:r>
    <w:r w:rsidR="00167466" w:rsidRPr="009A3E39">
      <w:rPr>
        <w:sz w:val="28"/>
        <w:szCs w:val="28"/>
      </w:rPr>
      <w:fldChar w:fldCharType="separate"/>
    </w:r>
    <w:r w:rsidRPr="00F27D45">
      <w:rPr>
        <w:noProof/>
        <w:sz w:val="28"/>
        <w:szCs w:val="28"/>
        <w:lang w:val="zh-CN"/>
      </w:rPr>
      <w:t>4</w:t>
    </w:r>
    <w:r w:rsidR="00167466" w:rsidRPr="009A3E39">
      <w:rPr>
        <w:sz w:val="28"/>
        <w:szCs w:val="28"/>
      </w:rPr>
      <w:fldChar w:fldCharType="end"/>
    </w:r>
    <w:r w:rsidRPr="009A3E39">
      <w:rPr>
        <w:rFonts w:hint="eastAsia"/>
        <w:sz w:val="28"/>
        <w:szCs w:val="28"/>
      </w:rPr>
      <w:t>—</w:t>
    </w:r>
  </w:p>
  <w:p w:rsidR="009A1829" w:rsidRDefault="00BC7AE6" w:rsidP="009A3E3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E" w:rsidRPr="009A3E39" w:rsidRDefault="00704594" w:rsidP="009A3E39">
    <w:pPr>
      <w:pStyle w:val="a4"/>
      <w:wordWrap w:val="0"/>
      <w:jc w:val="right"/>
      <w:rPr>
        <w:sz w:val="28"/>
        <w:szCs w:val="28"/>
      </w:rPr>
    </w:pPr>
    <w:r w:rsidRPr="009A3E39">
      <w:rPr>
        <w:rFonts w:hint="eastAsia"/>
        <w:sz w:val="28"/>
        <w:szCs w:val="28"/>
      </w:rPr>
      <w:t>—</w:t>
    </w:r>
    <w:r w:rsidR="00167466" w:rsidRPr="009A3E39">
      <w:rPr>
        <w:sz w:val="28"/>
        <w:szCs w:val="28"/>
      </w:rPr>
      <w:fldChar w:fldCharType="begin"/>
    </w:r>
    <w:r w:rsidRPr="009A3E39">
      <w:rPr>
        <w:sz w:val="28"/>
        <w:szCs w:val="28"/>
      </w:rPr>
      <w:instrText>PAGE   \* MERGEFORMAT</w:instrText>
    </w:r>
    <w:r w:rsidR="00167466" w:rsidRPr="009A3E39">
      <w:rPr>
        <w:sz w:val="28"/>
        <w:szCs w:val="28"/>
      </w:rPr>
      <w:fldChar w:fldCharType="separate"/>
    </w:r>
    <w:r w:rsidR="00727DCE" w:rsidRPr="00727DCE">
      <w:rPr>
        <w:noProof/>
        <w:sz w:val="28"/>
        <w:szCs w:val="28"/>
        <w:lang w:val="zh-CN"/>
      </w:rPr>
      <w:t>1</w:t>
    </w:r>
    <w:r w:rsidR="00167466" w:rsidRPr="009A3E39">
      <w:rPr>
        <w:sz w:val="28"/>
        <w:szCs w:val="28"/>
      </w:rPr>
      <w:fldChar w:fldCharType="end"/>
    </w:r>
    <w:r w:rsidRPr="009A3E39">
      <w:rPr>
        <w:rFonts w:hint="eastAsia"/>
        <w:sz w:val="28"/>
        <w:szCs w:val="28"/>
      </w:rPr>
      <w:t>—</w:t>
    </w:r>
    <w:r w:rsidRPr="009A3E39">
      <w:rPr>
        <w:rFonts w:hint="eastAsia"/>
        <w:color w:val="FFFFFF"/>
        <w:sz w:val="28"/>
        <w:szCs w:val="28"/>
      </w:rPr>
      <w:t>—</w:t>
    </w:r>
  </w:p>
  <w:p w:rsidR="009A1829" w:rsidRDefault="00BC7AE6" w:rsidP="009A3E3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AE6" w:rsidRDefault="00BC7AE6" w:rsidP="00E51296">
      <w:r>
        <w:separator/>
      </w:r>
    </w:p>
  </w:footnote>
  <w:footnote w:type="continuationSeparator" w:id="1">
    <w:p w:rsidR="00BC7AE6" w:rsidRDefault="00BC7AE6" w:rsidP="00E512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2DFD"/>
    <w:rsid w:val="00167466"/>
    <w:rsid w:val="00362F15"/>
    <w:rsid w:val="00704594"/>
    <w:rsid w:val="00727DCE"/>
    <w:rsid w:val="00BC7AE6"/>
    <w:rsid w:val="00D72DFD"/>
    <w:rsid w:val="00E51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12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12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12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12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12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12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12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12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>CFDA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2016-09-30T08:15:00Z</dcterms:created>
  <dcterms:modified xsi:type="dcterms:W3CDTF">2016-09-30T08:15:00Z</dcterms:modified>
</cp:coreProperties>
</file>