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BFC" w:rsidRDefault="00817BFC" w:rsidP="00817BFC">
      <w:pPr>
        <w:spacing w:line="600" w:lineRule="exact"/>
        <w:rPr>
          <w:rFonts w:ascii="黑体" w:eastAsia="黑体" w:hAnsi="黑体"/>
          <w:sz w:val="32"/>
          <w:szCs w:val="32"/>
        </w:rPr>
      </w:pPr>
      <w:r w:rsidRPr="00530629">
        <w:rPr>
          <w:rFonts w:ascii="黑体" w:eastAsia="黑体" w:hAnsi="黑体" w:hint="eastAsia"/>
          <w:sz w:val="32"/>
          <w:szCs w:val="32"/>
        </w:rPr>
        <w:t>附件</w:t>
      </w:r>
    </w:p>
    <w:p w:rsidR="00817BFC" w:rsidRPr="00530629" w:rsidRDefault="00817BFC" w:rsidP="00817BFC">
      <w:pPr>
        <w:spacing w:line="640" w:lineRule="exact"/>
        <w:jc w:val="center"/>
        <w:rPr>
          <w:rFonts w:ascii="黑体" w:eastAsia="黑体" w:hAnsi="黑体"/>
          <w:sz w:val="32"/>
          <w:szCs w:val="32"/>
        </w:rPr>
      </w:pPr>
    </w:p>
    <w:p w:rsidR="00817BFC" w:rsidRDefault="00817BFC" w:rsidP="00817BFC">
      <w:pPr>
        <w:spacing w:line="640" w:lineRule="exact"/>
        <w:jc w:val="center"/>
        <w:rPr>
          <w:rFonts w:eastAsia="方正小标宋简体"/>
          <w:sz w:val="44"/>
          <w:szCs w:val="44"/>
        </w:rPr>
      </w:pPr>
      <w:r w:rsidRPr="00530629">
        <w:rPr>
          <w:rFonts w:eastAsia="方正小标宋简体" w:hint="eastAsia"/>
          <w:sz w:val="44"/>
          <w:szCs w:val="44"/>
        </w:rPr>
        <w:t>脑蛋白水解物注射剂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817BFC" w:rsidRDefault="00817BFC" w:rsidP="00817BFC">
      <w:pPr>
        <w:spacing w:line="500" w:lineRule="exact"/>
        <w:jc w:val="center"/>
        <w:rPr>
          <w:rFonts w:eastAsia="方正小标宋简体"/>
          <w:sz w:val="44"/>
          <w:szCs w:val="44"/>
        </w:rPr>
      </w:pP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C04D3">
        <w:rPr>
          <w:rFonts w:ascii="黑体" w:eastAsia="黑体" w:hAnsi="黑体" w:hint="eastAsia"/>
          <w:sz w:val="32"/>
          <w:szCs w:val="32"/>
        </w:rPr>
        <w:t>一、增加警示语，内容应包括：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本品使用过程中可能会发生严重过敏反应。使用过程中应严格按照说明书中规定的用法用量缓慢滴注，建议用药起始</w:t>
      </w:r>
      <w:r w:rsidRPr="008C04D3">
        <w:rPr>
          <w:rFonts w:eastAsia="仿宋_GB2312"/>
          <w:sz w:val="32"/>
          <w:szCs w:val="32"/>
        </w:rPr>
        <w:t>10</w:t>
      </w:r>
      <w:r w:rsidRPr="008C04D3">
        <w:rPr>
          <w:rFonts w:eastAsia="仿宋_GB2312" w:hint="eastAsia"/>
          <w:sz w:val="32"/>
          <w:szCs w:val="32"/>
        </w:rPr>
        <w:t>分钟内滴注速度不超过</w:t>
      </w:r>
      <w:r w:rsidRPr="008C04D3">
        <w:rPr>
          <w:rFonts w:eastAsia="仿宋_GB2312"/>
          <w:sz w:val="32"/>
          <w:szCs w:val="32"/>
        </w:rPr>
        <w:t>30</w:t>
      </w:r>
      <w:r w:rsidRPr="008C04D3">
        <w:rPr>
          <w:rFonts w:eastAsia="仿宋_GB2312" w:hint="eastAsia"/>
          <w:sz w:val="32"/>
          <w:szCs w:val="32"/>
        </w:rPr>
        <w:t>滴</w:t>
      </w:r>
      <w:r w:rsidRPr="008C04D3">
        <w:rPr>
          <w:rFonts w:eastAsia="仿宋_GB2312"/>
          <w:sz w:val="32"/>
          <w:szCs w:val="32"/>
        </w:rPr>
        <w:t>/</w:t>
      </w:r>
      <w:r w:rsidRPr="008C04D3">
        <w:rPr>
          <w:rFonts w:eastAsia="仿宋_GB2312" w:hint="eastAsia"/>
          <w:sz w:val="32"/>
          <w:szCs w:val="32"/>
        </w:rPr>
        <w:t>分钟。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C04D3">
        <w:rPr>
          <w:rFonts w:ascii="黑体" w:eastAsia="黑体" w:hAnsi="黑体" w:hint="eastAsia"/>
          <w:sz w:val="32"/>
          <w:szCs w:val="32"/>
        </w:rPr>
        <w:t>二、【禁忌】项应包括：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1.</w:t>
      </w:r>
      <w:r w:rsidRPr="008C04D3">
        <w:rPr>
          <w:rFonts w:eastAsia="仿宋_GB2312" w:hint="eastAsia"/>
          <w:sz w:val="32"/>
          <w:szCs w:val="32"/>
        </w:rPr>
        <w:t>对本药任一成份过敏者。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2.</w:t>
      </w:r>
      <w:r w:rsidRPr="008C04D3">
        <w:rPr>
          <w:rFonts w:eastAsia="仿宋_GB2312" w:hint="eastAsia"/>
          <w:sz w:val="32"/>
          <w:szCs w:val="32"/>
        </w:rPr>
        <w:t>癫痫持续状态。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3.</w:t>
      </w:r>
      <w:r w:rsidRPr="008C04D3">
        <w:rPr>
          <w:rFonts w:eastAsia="仿宋_GB2312" w:hint="eastAsia"/>
          <w:sz w:val="32"/>
          <w:szCs w:val="32"/>
        </w:rPr>
        <w:t>癫痫大发作，此时用药可能增加发作频率。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4.</w:t>
      </w:r>
      <w:r w:rsidRPr="008C04D3">
        <w:rPr>
          <w:rFonts w:eastAsia="仿宋_GB2312" w:hint="eastAsia"/>
          <w:sz w:val="32"/>
          <w:szCs w:val="32"/>
        </w:rPr>
        <w:t>严重肾功能不全者。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C04D3">
        <w:rPr>
          <w:rFonts w:ascii="黑体" w:eastAsia="黑体" w:hAnsi="黑体" w:hint="eastAsia"/>
          <w:sz w:val="32"/>
          <w:szCs w:val="32"/>
        </w:rPr>
        <w:t>三、【不良反应】项应包括：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上市后监测和文献资料可观察到以下不良反应：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过敏反应：包括皮疹、荨麻疹、红斑疹、斑丘疹、皮肤瘙痒、皮肤潮红、喉水肿、头面部水肿等；可见过敏样反应和过敏性休克，症状包括多汗、面色苍白、呼吸困难、紫绀、血压下降等。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全身性损害：寒战、发热、畏寒、乏力、腰痛、背痛、水肿。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呼吸系统损害：呼吸困难、胸闷、憋气、呼吸急促、咳嗽、鼻塞、支气管痉挛。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神经系统损害：头晕、眩晕、头痛、惊厥、麻木、抽搐、憋气、烦躁、震颤、抑郁、失眠、癫痫发作。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消化系统损害：腹泻、腹痛、恶心、呕吐、便秘、口干、肝脏氨基转氨酶升高。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lastRenderedPageBreak/>
        <w:t>心血管系统损害：心悸、心动过速、心律失常、血压升高、血压下降。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泌尿系统损害：血尿素氮升高。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给药部位损害：注射部位疼痛、静脉炎。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C04D3">
        <w:rPr>
          <w:rFonts w:ascii="黑体" w:eastAsia="黑体" w:hAnsi="黑体" w:hint="eastAsia"/>
          <w:sz w:val="32"/>
          <w:szCs w:val="32"/>
        </w:rPr>
        <w:t>四、【注意事项】项应包括：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1.</w:t>
      </w:r>
      <w:r w:rsidRPr="008C04D3">
        <w:rPr>
          <w:rFonts w:eastAsia="仿宋_GB2312" w:hint="eastAsia"/>
          <w:sz w:val="32"/>
          <w:szCs w:val="32"/>
        </w:rPr>
        <w:t>严格按照说明书规定的适应证及用法用量使用。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2.</w:t>
      </w:r>
      <w:r w:rsidRPr="008C04D3">
        <w:rPr>
          <w:rFonts w:eastAsia="仿宋_GB2312" w:hint="eastAsia"/>
          <w:sz w:val="32"/>
          <w:szCs w:val="32"/>
        </w:rPr>
        <w:t>用药前应仔细询问患者用药史和过敏史，过敏体质患者慎用。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3.</w:t>
      </w:r>
      <w:r w:rsidRPr="008C04D3">
        <w:rPr>
          <w:rFonts w:eastAsia="仿宋_GB2312" w:hint="eastAsia"/>
          <w:sz w:val="32"/>
          <w:szCs w:val="32"/>
        </w:rPr>
        <w:t>药品稀释应严格按照说明书的要求配制，不得随意改变稀释液的种类、稀释浓度和稀释溶液用量。配药后应即配即用，不宜长时间放置。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4.</w:t>
      </w:r>
      <w:r w:rsidRPr="008C04D3">
        <w:rPr>
          <w:rFonts w:eastAsia="仿宋_GB2312" w:hint="eastAsia"/>
          <w:sz w:val="32"/>
          <w:szCs w:val="32"/>
        </w:rPr>
        <w:t>严禁混合配伍，谨慎联合用药。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5.</w:t>
      </w:r>
      <w:r w:rsidRPr="008C04D3">
        <w:rPr>
          <w:rFonts w:eastAsia="仿宋_GB2312" w:hint="eastAsia"/>
          <w:sz w:val="32"/>
          <w:szCs w:val="32"/>
        </w:rPr>
        <w:t>本品不良反应包括过敏性休克，应在有抢救条件的医疗机构使用，用药后出现过敏反应或其他严重不良反应应立即停药并及时救治。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6.</w:t>
      </w:r>
      <w:r w:rsidRPr="008C04D3">
        <w:rPr>
          <w:rFonts w:eastAsia="仿宋_GB2312" w:hint="eastAsia"/>
          <w:sz w:val="32"/>
          <w:szCs w:val="32"/>
        </w:rPr>
        <w:t>使用本品期间，如出现任何不良事件和</w:t>
      </w:r>
      <w:r w:rsidRPr="008C04D3">
        <w:rPr>
          <w:rFonts w:eastAsia="仿宋_GB2312"/>
          <w:sz w:val="32"/>
          <w:szCs w:val="32"/>
        </w:rPr>
        <w:t>/</w:t>
      </w:r>
      <w:r w:rsidRPr="008C04D3">
        <w:rPr>
          <w:rFonts w:eastAsia="仿宋_GB2312" w:hint="eastAsia"/>
          <w:sz w:val="32"/>
          <w:szCs w:val="32"/>
        </w:rPr>
        <w:t>或不良反应，请咨询医生。如同时使用其他药品，请告知医生。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7.</w:t>
      </w:r>
      <w:r w:rsidRPr="008C04D3">
        <w:rPr>
          <w:rFonts w:eastAsia="仿宋_GB2312" w:hint="eastAsia"/>
          <w:sz w:val="32"/>
          <w:szCs w:val="32"/>
        </w:rPr>
        <w:t>请放置于儿童不能够触及的地方。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/>
          <w:sz w:val="32"/>
          <w:szCs w:val="32"/>
        </w:rPr>
        <w:t>8.</w:t>
      </w:r>
      <w:r w:rsidRPr="008C04D3">
        <w:rPr>
          <w:rFonts w:eastAsia="仿宋_GB2312" w:hint="eastAsia"/>
          <w:sz w:val="32"/>
          <w:szCs w:val="32"/>
        </w:rPr>
        <w:t>当药品性状发生改变时禁止使用。</w:t>
      </w:r>
    </w:p>
    <w:p w:rsidR="00817BFC" w:rsidRPr="008C04D3" w:rsidRDefault="00817BFC" w:rsidP="00817BFC">
      <w:pPr>
        <w:pStyle w:val="1"/>
        <w:spacing w:line="50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8C04D3">
        <w:rPr>
          <w:rFonts w:ascii="黑体" w:eastAsia="黑体" w:hAnsi="黑体" w:hint="eastAsia"/>
          <w:sz w:val="32"/>
          <w:szCs w:val="32"/>
        </w:rPr>
        <w:t>五、【儿童用药】项应包括：</w:t>
      </w:r>
    </w:p>
    <w:p w:rsidR="008B4CE9" w:rsidRPr="00817BFC" w:rsidRDefault="00817BFC" w:rsidP="00C6292F">
      <w:pPr>
        <w:pStyle w:val="1"/>
        <w:spacing w:line="500" w:lineRule="exact"/>
        <w:ind w:firstLineChars="200" w:firstLine="640"/>
        <w:jc w:val="both"/>
        <w:rPr>
          <w:rFonts w:eastAsia="仿宋_GB2312"/>
          <w:sz w:val="32"/>
          <w:szCs w:val="32"/>
        </w:rPr>
      </w:pPr>
      <w:r w:rsidRPr="008C04D3">
        <w:rPr>
          <w:rFonts w:eastAsia="仿宋_GB2312" w:hint="eastAsia"/>
          <w:sz w:val="32"/>
          <w:szCs w:val="32"/>
        </w:rPr>
        <w:t>儿童使用本品的安全性尚不明确。</w:t>
      </w:r>
    </w:p>
    <w:sectPr w:rsidR="008B4CE9" w:rsidRPr="00817BFC" w:rsidSect="008C04D3">
      <w:footerReference w:type="even" r:id="rId6"/>
      <w:footerReference w:type="default" r:id="rId7"/>
      <w:pgSz w:w="11906" w:h="16838"/>
      <w:pgMar w:top="1928" w:right="1531" w:bottom="1701" w:left="1531" w:header="851" w:footer="119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3C5" w:rsidRDefault="008C73C5" w:rsidP="00817BFC">
      <w:r>
        <w:separator/>
      </w:r>
    </w:p>
  </w:endnote>
  <w:endnote w:type="continuationSeparator" w:id="1">
    <w:p w:rsidR="008C73C5" w:rsidRDefault="008C73C5" w:rsidP="00817B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3B" w:rsidRPr="008C04D3" w:rsidRDefault="00EB5B26">
    <w:pPr>
      <w:pStyle w:val="a4"/>
      <w:rPr>
        <w:sz w:val="28"/>
        <w:szCs w:val="28"/>
      </w:rPr>
    </w:pPr>
    <w:r w:rsidRPr="008C04D3">
      <w:rPr>
        <w:rFonts w:hint="eastAsia"/>
        <w:color w:val="FFFFFF" w:themeColor="background1"/>
        <w:sz w:val="28"/>
        <w:szCs w:val="28"/>
      </w:rPr>
      <w:t>—</w:t>
    </w:r>
    <w:r w:rsidRPr="008C04D3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1695888853"/>
        <w:docPartObj>
          <w:docPartGallery w:val="Page Numbers (Bottom of Page)"/>
          <w:docPartUnique/>
        </w:docPartObj>
      </w:sdtPr>
      <w:sdtContent>
        <w:r w:rsidR="00F366C9" w:rsidRPr="008C04D3">
          <w:rPr>
            <w:sz w:val="28"/>
            <w:szCs w:val="28"/>
          </w:rPr>
          <w:fldChar w:fldCharType="begin"/>
        </w:r>
        <w:r w:rsidRPr="008C04D3">
          <w:rPr>
            <w:sz w:val="28"/>
            <w:szCs w:val="28"/>
          </w:rPr>
          <w:instrText>PAGE   \* MERGEFORMAT</w:instrText>
        </w:r>
        <w:r w:rsidR="00F366C9" w:rsidRPr="008C04D3">
          <w:rPr>
            <w:sz w:val="28"/>
            <w:szCs w:val="28"/>
          </w:rPr>
          <w:fldChar w:fldCharType="separate"/>
        </w:r>
        <w:r w:rsidRPr="005E14B8">
          <w:rPr>
            <w:noProof/>
            <w:sz w:val="28"/>
            <w:szCs w:val="28"/>
            <w:lang w:val="zh-CN"/>
          </w:rPr>
          <w:t>4</w:t>
        </w:r>
        <w:r w:rsidR="00F366C9" w:rsidRPr="008C04D3">
          <w:rPr>
            <w:sz w:val="28"/>
            <w:szCs w:val="28"/>
          </w:rPr>
          <w:fldChar w:fldCharType="end"/>
        </w:r>
        <w:r w:rsidRPr="008C04D3">
          <w:rPr>
            <w:rFonts w:hint="eastAsia"/>
            <w:sz w:val="28"/>
            <w:szCs w:val="28"/>
          </w:rPr>
          <w:t>—</w:t>
        </w:r>
      </w:sdtContent>
    </w:sdt>
  </w:p>
  <w:p w:rsidR="00BC533B" w:rsidRDefault="008C73C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3B" w:rsidRPr="008C04D3" w:rsidRDefault="00EB5B26">
    <w:pPr>
      <w:pStyle w:val="a4"/>
      <w:jc w:val="right"/>
      <w:rPr>
        <w:sz w:val="28"/>
        <w:szCs w:val="28"/>
      </w:rPr>
    </w:pPr>
    <w:r w:rsidRPr="008C04D3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-10677622"/>
        <w:docPartObj>
          <w:docPartGallery w:val="Page Numbers (Bottom of Page)"/>
          <w:docPartUnique/>
        </w:docPartObj>
      </w:sdtPr>
      <w:sdtContent>
        <w:r w:rsidR="00F366C9" w:rsidRPr="008C04D3">
          <w:rPr>
            <w:sz w:val="28"/>
            <w:szCs w:val="28"/>
          </w:rPr>
          <w:fldChar w:fldCharType="begin"/>
        </w:r>
        <w:r w:rsidRPr="008C04D3">
          <w:rPr>
            <w:sz w:val="28"/>
            <w:szCs w:val="28"/>
          </w:rPr>
          <w:instrText>PAGE   \* MERGEFORMAT</w:instrText>
        </w:r>
        <w:r w:rsidR="00F366C9" w:rsidRPr="008C04D3">
          <w:rPr>
            <w:sz w:val="28"/>
            <w:szCs w:val="28"/>
          </w:rPr>
          <w:fldChar w:fldCharType="separate"/>
        </w:r>
        <w:r w:rsidR="00C6292F" w:rsidRPr="00C6292F">
          <w:rPr>
            <w:noProof/>
            <w:sz w:val="28"/>
            <w:szCs w:val="28"/>
            <w:lang w:val="zh-CN"/>
          </w:rPr>
          <w:t>2</w:t>
        </w:r>
        <w:r w:rsidR="00F366C9" w:rsidRPr="008C04D3">
          <w:rPr>
            <w:sz w:val="28"/>
            <w:szCs w:val="28"/>
          </w:rPr>
          <w:fldChar w:fldCharType="end"/>
        </w:r>
        <w:r w:rsidRPr="008C04D3">
          <w:rPr>
            <w:rFonts w:hint="eastAsia"/>
            <w:sz w:val="28"/>
            <w:szCs w:val="28"/>
          </w:rPr>
          <w:t>—</w:t>
        </w:r>
        <w:r w:rsidRPr="008C04D3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530629" w:rsidRDefault="008C73C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3C5" w:rsidRDefault="008C73C5" w:rsidP="00817BFC">
      <w:r>
        <w:separator/>
      </w:r>
    </w:p>
  </w:footnote>
  <w:footnote w:type="continuationSeparator" w:id="1">
    <w:p w:rsidR="008C73C5" w:rsidRDefault="008C73C5" w:rsidP="00817B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2E23"/>
    <w:rsid w:val="006C2E23"/>
    <w:rsid w:val="00817BFC"/>
    <w:rsid w:val="008B4CE9"/>
    <w:rsid w:val="008C73C5"/>
    <w:rsid w:val="00C6292F"/>
    <w:rsid w:val="00EB5B26"/>
    <w:rsid w:val="00F36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7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7B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7B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7BFC"/>
    <w:rPr>
      <w:sz w:val="18"/>
      <w:szCs w:val="18"/>
    </w:rPr>
  </w:style>
  <w:style w:type="paragraph" w:styleId="a5">
    <w:name w:val="List Paragraph"/>
    <w:basedOn w:val="a"/>
    <w:uiPriority w:val="34"/>
    <w:qFormat/>
    <w:rsid w:val="00817BFC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无间隔1"/>
    <w:rsid w:val="00817BFC"/>
    <w:rPr>
      <w:rFonts w:ascii="Times New Roman" w:eastAsia="宋体" w:hAnsi="Times New Roman" w:cs="Times New Roman"/>
      <w:kern w:val="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7B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7B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7B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7BFC"/>
    <w:rPr>
      <w:sz w:val="18"/>
      <w:szCs w:val="18"/>
    </w:rPr>
  </w:style>
  <w:style w:type="paragraph" w:styleId="a5">
    <w:name w:val="List Paragraph"/>
    <w:basedOn w:val="a"/>
    <w:uiPriority w:val="34"/>
    <w:qFormat/>
    <w:rsid w:val="00817BFC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无间隔1"/>
    <w:rsid w:val="00817BFC"/>
    <w:rPr>
      <w:rFonts w:ascii="Times New Roman" w:eastAsia="宋体" w:hAnsi="Times New Roman" w:cs="Times New Roman"/>
      <w:kern w:val="0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710</Characters>
  <Application>Microsoft Office Word</Application>
  <DocSecurity>0</DocSecurity>
  <Lines>5</Lines>
  <Paragraphs>1</Paragraphs>
  <ScaleCrop>false</ScaleCrop>
  <Company>CFDA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2016-11-10T12:33:00Z</dcterms:created>
  <dcterms:modified xsi:type="dcterms:W3CDTF">2016-11-10T12:33:00Z</dcterms:modified>
</cp:coreProperties>
</file>