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625" w:rsidRDefault="00556625" w:rsidP="00556625">
      <w:pPr>
        <w:spacing w:line="600" w:lineRule="exact"/>
        <w:rPr>
          <w:rFonts w:ascii="黑体" w:eastAsia="黑体" w:hAnsi="黑体"/>
          <w:sz w:val="32"/>
          <w:szCs w:val="32"/>
        </w:rPr>
      </w:pPr>
      <w:r w:rsidRPr="00EA6642">
        <w:rPr>
          <w:rFonts w:ascii="黑体" w:eastAsia="黑体" w:hAnsi="黑体" w:hint="eastAsia"/>
          <w:sz w:val="32"/>
          <w:szCs w:val="32"/>
        </w:rPr>
        <w:t>附件</w:t>
      </w:r>
    </w:p>
    <w:p w:rsidR="00556625" w:rsidRPr="00EA6642" w:rsidRDefault="00556625" w:rsidP="00556625">
      <w:pPr>
        <w:spacing w:line="600" w:lineRule="exact"/>
        <w:rPr>
          <w:rFonts w:ascii="黑体" w:eastAsia="黑体" w:hAnsi="黑体"/>
          <w:sz w:val="32"/>
          <w:szCs w:val="32"/>
        </w:rPr>
      </w:pPr>
    </w:p>
    <w:p w:rsidR="00556625" w:rsidRDefault="00556625" w:rsidP="00556625">
      <w:pPr>
        <w:spacing w:line="360" w:lineRule="auto"/>
        <w:jc w:val="center"/>
        <w:rPr>
          <w:rFonts w:eastAsia="方正小标宋简体"/>
          <w:sz w:val="44"/>
          <w:szCs w:val="44"/>
        </w:rPr>
      </w:pPr>
      <w:r w:rsidRPr="00EA6642">
        <w:rPr>
          <w:rFonts w:eastAsia="方正小标宋简体" w:hint="eastAsia"/>
          <w:sz w:val="44"/>
          <w:szCs w:val="44"/>
        </w:rPr>
        <w:t>非普拉宗片</w:t>
      </w:r>
      <w:r>
        <w:rPr>
          <w:rFonts w:eastAsia="方正小标宋简体" w:hint="eastAsia"/>
          <w:sz w:val="44"/>
          <w:szCs w:val="44"/>
        </w:rPr>
        <w:t>说明书修订要求</w:t>
      </w:r>
    </w:p>
    <w:p w:rsidR="00556625" w:rsidRDefault="00556625" w:rsidP="00556625">
      <w:pPr>
        <w:pStyle w:val="a5"/>
        <w:widowControl w:val="0"/>
        <w:autoSpaceDE w:val="0"/>
        <w:autoSpaceDN w:val="0"/>
        <w:adjustRightInd w:val="0"/>
        <w:snapToGrid w:val="0"/>
        <w:spacing w:line="540" w:lineRule="exact"/>
        <w:ind w:firstLine="640"/>
        <w:jc w:val="both"/>
        <w:rPr>
          <w:rFonts w:ascii="仿宋_GB2312" w:eastAsia="仿宋_GB2312" w:hAnsi="Times New Roman" w:cs="Times New Roman"/>
          <w:kern w:val="2"/>
          <w:sz w:val="32"/>
          <w:szCs w:val="32"/>
        </w:rPr>
      </w:pPr>
    </w:p>
    <w:p w:rsidR="00556625" w:rsidRPr="005A5B8C" w:rsidRDefault="00556625" w:rsidP="00556625">
      <w:pPr>
        <w:spacing w:line="360" w:lineRule="auto"/>
        <w:ind w:firstLineChars="200" w:firstLine="640"/>
        <w:rPr>
          <w:rFonts w:eastAsia="仿宋_GB2312"/>
          <w:sz w:val="32"/>
          <w:szCs w:val="32"/>
        </w:rPr>
      </w:pPr>
      <w:r w:rsidRPr="005A5B8C">
        <w:rPr>
          <w:rFonts w:eastAsia="仿宋_GB2312" w:hint="eastAsia"/>
          <w:sz w:val="32"/>
          <w:szCs w:val="32"/>
        </w:rPr>
        <w:t>一、【适应症】修订为：风湿性关节炎、类风湿关节炎、肩周炎及牙痛。本品仅在其他非甾体抗炎药无效或无法使用时才可使用。</w:t>
      </w:r>
    </w:p>
    <w:p w:rsidR="00556625" w:rsidRPr="005A5B8C" w:rsidRDefault="00556625" w:rsidP="00556625">
      <w:pPr>
        <w:spacing w:line="360" w:lineRule="auto"/>
        <w:ind w:firstLineChars="200" w:firstLine="640"/>
        <w:rPr>
          <w:rFonts w:eastAsia="仿宋_GB2312"/>
          <w:sz w:val="32"/>
          <w:szCs w:val="32"/>
        </w:rPr>
      </w:pPr>
      <w:r w:rsidRPr="005A5B8C">
        <w:rPr>
          <w:rFonts w:eastAsia="仿宋_GB2312" w:hint="eastAsia"/>
          <w:sz w:val="32"/>
          <w:szCs w:val="32"/>
        </w:rPr>
        <w:t>二、【用法用量】修订为：口服。一次</w:t>
      </w:r>
      <w:r w:rsidRPr="005A5B8C">
        <w:rPr>
          <w:rFonts w:eastAsia="仿宋_GB2312"/>
          <w:sz w:val="32"/>
          <w:szCs w:val="32"/>
        </w:rPr>
        <w:t>0.2g</w:t>
      </w:r>
      <w:r w:rsidRPr="005A5B8C">
        <w:rPr>
          <w:rFonts w:eastAsia="仿宋_GB2312" w:hint="eastAsia"/>
          <w:sz w:val="32"/>
          <w:szCs w:val="32"/>
        </w:rPr>
        <w:t>（</w:t>
      </w:r>
      <w:r w:rsidRPr="005A5B8C">
        <w:rPr>
          <w:rFonts w:eastAsia="仿宋_GB2312"/>
          <w:sz w:val="32"/>
          <w:szCs w:val="32"/>
        </w:rPr>
        <w:t>2</w:t>
      </w:r>
      <w:r w:rsidRPr="005A5B8C">
        <w:rPr>
          <w:rFonts w:eastAsia="仿宋_GB2312" w:hint="eastAsia"/>
          <w:sz w:val="32"/>
          <w:szCs w:val="32"/>
        </w:rPr>
        <w:t>片），一日</w:t>
      </w:r>
      <w:r w:rsidRPr="005A5B8C">
        <w:rPr>
          <w:rFonts w:eastAsia="仿宋_GB2312"/>
          <w:sz w:val="32"/>
          <w:szCs w:val="32"/>
        </w:rPr>
        <w:t>2</w:t>
      </w:r>
      <w:r w:rsidRPr="005A5B8C">
        <w:rPr>
          <w:rFonts w:eastAsia="仿宋_GB2312" w:hint="eastAsia"/>
          <w:sz w:val="32"/>
          <w:szCs w:val="32"/>
        </w:rPr>
        <w:t>次，疗程不超过</w:t>
      </w:r>
      <w:r w:rsidRPr="005A5B8C">
        <w:rPr>
          <w:rFonts w:eastAsia="仿宋_GB2312"/>
          <w:sz w:val="32"/>
          <w:szCs w:val="32"/>
        </w:rPr>
        <w:t>7</w:t>
      </w:r>
      <w:r w:rsidRPr="005A5B8C">
        <w:rPr>
          <w:rFonts w:eastAsia="仿宋_GB2312" w:hint="eastAsia"/>
          <w:sz w:val="32"/>
          <w:szCs w:val="32"/>
        </w:rPr>
        <w:t>天。</w:t>
      </w:r>
    </w:p>
    <w:p w:rsidR="00556625" w:rsidRPr="005A5B8C" w:rsidRDefault="00556625" w:rsidP="00556625">
      <w:pPr>
        <w:spacing w:line="360" w:lineRule="auto"/>
        <w:ind w:firstLineChars="200" w:firstLine="640"/>
        <w:rPr>
          <w:rFonts w:eastAsia="仿宋_GB2312"/>
          <w:sz w:val="32"/>
          <w:szCs w:val="32"/>
        </w:rPr>
      </w:pPr>
      <w:r w:rsidRPr="005A5B8C">
        <w:rPr>
          <w:rFonts w:eastAsia="仿宋_GB2312" w:hint="eastAsia"/>
          <w:sz w:val="32"/>
          <w:szCs w:val="32"/>
        </w:rPr>
        <w:t>三、【不良反应】修订为：</w:t>
      </w:r>
    </w:p>
    <w:p w:rsidR="00556625" w:rsidRPr="005A5B8C" w:rsidRDefault="00556625" w:rsidP="00556625">
      <w:pPr>
        <w:spacing w:line="360" w:lineRule="auto"/>
        <w:ind w:firstLineChars="200" w:firstLine="640"/>
        <w:rPr>
          <w:rFonts w:eastAsia="仿宋_GB2312"/>
          <w:sz w:val="32"/>
          <w:szCs w:val="32"/>
        </w:rPr>
      </w:pPr>
      <w:r w:rsidRPr="005A5B8C">
        <w:rPr>
          <w:rFonts w:eastAsia="仿宋_GB2312" w:hint="eastAsia"/>
          <w:sz w:val="32"/>
          <w:szCs w:val="32"/>
        </w:rPr>
        <w:t>根据上市后不良反应监测情况及文献报道，非普拉宗的不良反应主要包括：</w:t>
      </w:r>
    </w:p>
    <w:p w:rsidR="00556625" w:rsidRPr="005A5B8C" w:rsidRDefault="00556625" w:rsidP="00556625">
      <w:pPr>
        <w:spacing w:line="360" w:lineRule="auto"/>
        <w:ind w:firstLineChars="200" w:firstLine="640"/>
        <w:rPr>
          <w:rFonts w:eastAsia="仿宋_GB2312"/>
          <w:sz w:val="32"/>
          <w:szCs w:val="32"/>
        </w:rPr>
      </w:pPr>
      <w:r w:rsidRPr="005A5B8C">
        <w:rPr>
          <w:rFonts w:eastAsia="仿宋_GB2312"/>
          <w:sz w:val="32"/>
          <w:szCs w:val="32"/>
        </w:rPr>
        <w:t>1.</w:t>
      </w:r>
      <w:r w:rsidRPr="005A5B8C">
        <w:rPr>
          <w:rFonts w:eastAsia="仿宋_GB2312" w:hint="eastAsia"/>
          <w:sz w:val="32"/>
          <w:szCs w:val="32"/>
        </w:rPr>
        <w:t>胃肠道损害：主要表现为恶心、呕吐、食欲不振、腹痛、腹泻、胃部不适，少数出现胃酸过多、返酸、消化不良、胃肠胀气等；国外有胃肠道出血和穿孔的报道。</w:t>
      </w:r>
    </w:p>
    <w:p w:rsidR="00556625" w:rsidRPr="005A5B8C" w:rsidRDefault="00556625" w:rsidP="00556625">
      <w:pPr>
        <w:spacing w:line="360" w:lineRule="auto"/>
        <w:ind w:firstLineChars="200" w:firstLine="640"/>
        <w:rPr>
          <w:rFonts w:eastAsia="仿宋_GB2312"/>
          <w:sz w:val="32"/>
          <w:szCs w:val="32"/>
        </w:rPr>
      </w:pPr>
      <w:r w:rsidRPr="005A5B8C">
        <w:rPr>
          <w:rFonts w:eastAsia="仿宋_GB2312"/>
          <w:sz w:val="32"/>
          <w:szCs w:val="32"/>
        </w:rPr>
        <w:t>2.</w:t>
      </w:r>
      <w:r w:rsidRPr="005A5B8C">
        <w:rPr>
          <w:rFonts w:eastAsia="仿宋_GB2312" w:hint="eastAsia"/>
          <w:sz w:val="32"/>
          <w:szCs w:val="32"/>
        </w:rPr>
        <w:t>过敏反应：以皮疹、瘙痒居多。报告的皮疹包括斑丘疹、荨麻疹、水疱疹、固定型药疹等，可波及全身，严重者可出现大疱性表皮松解型药疹、剥脱性皮炎、重症多形性红斑。少数患者出现过敏性紫癜、呼吸困难、喉头水肿、过敏性休克。</w:t>
      </w:r>
    </w:p>
    <w:p w:rsidR="00556625" w:rsidRPr="005A5B8C" w:rsidRDefault="00556625" w:rsidP="00556625">
      <w:pPr>
        <w:spacing w:line="360" w:lineRule="auto"/>
        <w:ind w:firstLineChars="200" w:firstLine="640"/>
        <w:rPr>
          <w:rFonts w:eastAsia="仿宋_GB2312"/>
          <w:sz w:val="32"/>
          <w:szCs w:val="32"/>
        </w:rPr>
      </w:pPr>
      <w:r w:rsidRPr="005A5B8C">
        <w:rPr>
          <w:rFonts w:eastAsia="仿宋_GB2312"/>
          <w:sz w:val="32"/>
          <w:szCs w:val="32"/>
        </w:rPr>
        <w:t>3.</w:t>
      </w:r>
      <w:r w:rsidRPr="005A5B8C">
        <w:rPr>
          <w:rFonts w:eastAsia="仿宋_GB2312" w:hint="eastAsia"/>
          <w:sz w:val="32"/>
          <w:szCs w:val="32"/>
        </w:rPr>
        <w:t>神经系统损害：以头晕、头痛为主，其他包括眩晕、失眠、</w:t>
      </w:r>
      <w:r w:rsidRPr="005A5B8C">
        <w:rPr>
          <w:rFonts w:eastAsia="仿宋_GB2312" w:hint="eastAsia"/>
          <w:sz w:val="32"/>
          <w:szCs w:val="32"/>
        </w:rPr>
        <w:lastRenderedPageBreak/>
        <w:t>嗜睡、震颤等。</w:t>
      </w:r>
    </w:p>
    <w:p w:rsidR="00556625" w:rsidRPr="005A5B8C" w:rsidRDefault="00556625" w:rsidP="00556625">
      <w:pPr>
        <w:spacing w:line="360" w:lineRule="auto"/>
        <w:ind w:firstLineChars="200" w:firstLine="640"/>
        <w:rPr>
          <w:rFonts w:eastAsia="仿宋_GB2312"/>
          <w:sz w:val="32"/>
          <w:szCs w:val="32"/>
        </w:rPr>
      </w:pPr>
      <w:r w:rsidRPr="005A5B8C">
        <w:rPr>
          <w:rFonts w:eastAsia="仿宋_GB2312"/>
          <w:sz w:val="32"/>
          <w:szCs w:val="32"/>
        </w:rPr>
        <w:t>4.</w:t>
      </w:r>
      <w:r w:rsidRPr="005A5B8C">
        <w:rPr>
          <w:rFonts w:eastAsia="仿宋_GB2312" w:hint="eastAsia"/>
          <w:sz w:val="32"/>
          <w:szCs w:val="32"/>
        </w:rPr>
        <w:t>血液系统损害：个别患者出现白细胞减少体征。国外有白细胞减少、粒细胞减少、粒细胞缺乏、再生障碍性贫血等报道。</w:t>
      </w:r>
    </w:p>
    <w:p w:rsidR="00556625" w:rsidRPr="005A5B8C" w:rsidRDefault="00556625" w:rsidP="00556625">
      <w:pPr>
        <w:spacing w:line="360" w:lineRule="auto"/>
        <w:ind w:firstLineChars="200" w:firstLine="640"/>
        <w:rPr>
          <w:rFonts w:eastAsia="仿宋_GB2312"/>
          <w:sz w:val="32"/>
          <w:szCs w:val="32"/>
        </w:rPr>
      </w:pPr>
      <w:r w:rsidRPr="005A5B8C">
        <w:rPr>
          <w:rFonts w:eastAsia="仿宋_GB2312"/>
          <w:sz w:val="32"/>
          <w:szCs w:val="32"/>
        </w:rPr>
        <w:t>5.</w:t>
      </w:r>
      <w:r w:rsidRPr="005A5B8C">
        <w:rPr>
          <w:rFonts w:eastAsia="仿宋_GB2312" w:hint="eastAsia"/>
          <w:sz w:val="32"/>
          <w:szCs w:val="32"/>
        </w:rPr>
        <w:t>其他损害：本品可引起水肿，水肿以面部水肿为主，也可出现手足、下肢和全身性水肿。</w:t>
      </w:r>
    </w:p>
    <w:p w:rsidR="00556625" w:rsidRPr="005A5B8C" w:rsidRDefault="00556625" w:rsidP="00556625">
      <w:pPr>
        <w:spacing w:line="360" w:lineRule="auto"/>
        <w:ind w:firstLineChars="200" w:firstLine="640"/>
        <w:rPr>
          <w:rFonts w:eastAsia="仿宋_GB2312"/>
          <w:sz w:val="32"/>
          <w:szCs w:val="32"/>
        </w:rPr>
      </w:pPr>
      <w:r w:rsidRPr="005A5B8C">
        <w:rPr>
          <w:rFonts w:eastAsia="仿宋_GB2312" w:hint="eastAsia"/>
          <w:sz w:val="32"/>
          <w:szCs w:val="32"/>
        </w:rPr>
        <w:t>四、【禁忌】项增加：“</w:t>
      </w:r>
      <w:r w:rsidR="00505A7B">
        <w:rPr>
          <w:rFonts w:eastAsia="仿宋_GB2312" w:hint="eastAsia"/>
          <w:sz w:val="32"/>
          <w:szCs w:val="32"/>
        </w:rPr>
        <w:t>14</w:t>
      </w:r>
      <w:r w:rsidRPr="005A5B8C">
        <w:rPr>
          <w:rFonts w:eastAsia="仿宋_GB2312" w:hint="eastAsia"/>
          <w:sz w:val="32"/>
          <w:szCs w:val="32"/>
        </w:rPr>
        <w:t>岁以下儿童禁用”。</w:t>
      </w:r>
    </w:p>
    <w:p w:rsidR="00556625" w:rsidRPr="005A5B8C" w:rsidRDefault="00556625" w:rsidP="00556625">
      <w:pPr>
        <w:spacing w:line="360" w:lineRule="auto"/>
        <w:rPr>
          <w:rFonts w:eastAsia="仿宋_GB2312"/>
          <w:sz w:val="32"/>
          <w:szCs w:val="32"/>
        </w:rPr>
      </w:pPr>
      <w:r w:rsidRPr="005A5B8C">
        <w:rPr>
          <w:rFonts w:eastAsia="仿宋_GB2312" w:hint="eastAsia"/>
          <w:sz w:val="32"/>
          <w:szCs w:val="32"/>
        </w:rPr>
        <w:t>五、【注意事项】增加以下内容：</w:t>
      </w:r>
    </w:p>
    <w:p w:rsidR="00556625" w:rsidRPr="005A5B8C" w:rsidRDefault="00556625" w:rsidP="00556625">
      <w:pPr>
        <w:spacing w:line="360" w:lineRule="auto"/>
        <w:ind w:firstLineChars="200" w:firstLine="640"/>
        <w:rPr>
          <w:rFonts w:eastAsia="仿宋_GB2312"/>
          <w:sz w:val="32"/>
          <w:szCs w:val="32"/>
        </w:rPr>
      </w:pPr>
      <w:r w:rsidRPr="005A5B8C">
        <w:rPr>
          <w:rFonts w:eastAsia="仿宋_GB2312"/>
          <w:sz w:val="32"/>
          <w:szCs w:val="32"/>
        </w:rPr>
        <w:t>1.</w:t>
      </w:r>
      <w:r w:rsidRPr="005A5B8C">
        <w:rPr>
          <w:rFonts w:eastAsia="仿宋_GB2312" w:hint="eastAsia"/>
          <w:sz w:val="32"/>
          <w:szCs w:val="32"/>
        </w:rPr>
        <w:t>本品为吡唑酮类解热镇痛抗炎药，此类药品可能出现严重血液系统不良反应，如白细胞减少、粒细胞减少、粒细胞缺乏、再生障碍性贫血等。本品不宜长期使用，疗程应控制在</w:t>
      </w:r>
      <w:r w:rsidRPr="005A5B8C">
        <w:rPr>
          <w:rFonts w:eastAsia="仿宋_GB2312"/>
          <w:sz w:val="32"/>
          <w:szCs w:val="32"/>
        </w:rPr>
        <w:t>7</w:t>
      </w:r>
      <w:r w:rsidRPr="005A5B8C">
        <w:rPr>
          <w:rFonts w:eastAsia="仿宋_GB2312" w:hint="eastAsia"/>
          <w:sz w:val="32"/>
          <w:szCs w:val="32"/>
        </w:rPr>
        <w:t>天内。必要时应进行血液学检验。</w:t>
      </w:r>
    </w:p>
    <w:p w:rsidR="00556625" w:rsidRPr="005A5B8C" w:rsidRDefault="00556625" w:rsidP="00556625">
      <w:pPr>
        <w:spacing w:line="360" w:lineRule="auto"/>
        <w:ind w:firstLineChars="200" w:firstLine="640"/>
        <w:rPr>
          <w:rFonts w:eastAsia="仿宋_GB2312"/>
          <w:sz w:val="32"/>
          <w:szCs w:val="32"/>
        </w:rPr>
      </w:pPr>
      <w:r w:rsidRPr="005A5B8C">
        <w:rPr>
          <w:rFonts w:eastAsia="仿宋_GB2312"/>
          <w:sz w:val="32"/>
          <w:szCs w:val="32"/>
        </w:rPr>
        <w:t>2.</w:t>
      </w:r>
      <w:r w:rsidRPr="005A5B8C">
        <w:rPr>
          <w:rFonts w:eastAsia="仿宋_GB2312" w:hint="eastAsia"/>
          <w:sz w:val="32"/>
          <w:szCs w:val="32"/>
        </w:rPr>
        <w:t>本品可引起水肿，以面部、眶周、眼睑、口唇水肿为主，也可出现手足、下肢和全身性水肿。非普拉宗所致水肿可能与其促进肾小管对钠和水的重吸收</w:t>
      </w:r>
      <w:r>
        <w:rPr>
          <w:rFonts w:eastAsia="仿宋_GB2312" w:hint="eastAsia"/>
          <w:sz w:val="32"/>
          <w:szCs w:val="32"/>
        </w:rPr>
        <w:t>，</w:t>
      </w:r>
      <w:r w:rsidRPr="005A5B8C">
        <w:rPr>
          <w:rFonts w:eastAsia="仿宋_GB2312" w:hint="eastAsia"/>
          <w:sz w:val="32"/>
          <w:szCs w:val="32"/>
        </w:rPr>
        <w:t>导致水钠潴留有关，也可能与药品的过敏反应有关。已经存在水肿或相关疾病（如充血性心力衰竭）的患者慎用。出现水肿应停用本品。</w:t>
      </w:r>
    </w:p>
    <w:p w:rsidR="00DF5FF0" w:rsidRPr="00556625" w:rsidRDefault="00556625" w:rsidP="00BE5FA0">
      <w:pPr>
        <w:spacing w:line="360" w:lineRule="auto"/>
        <w:ind w:firstLineChars="200" w:firstLine="640"/>
      </w:pPr>
      <w:r w:rsidRPr="005A5B8C">
        <w:rPr>
          <w:rFonts w:eastAsia="仿宋_GB2312" w:hint="eastAsia"/>
          <w:sz w:val="32"/>
          <w:szCs w:val="32"/>
        </w:rPr>
        <w:t>六、【儿童用药】修订为：本品禁用于</w:t>
      </w:r>
      <w:r w:rsidRPr="005A5B8C">
        <w:rPr>
          <w:rFonts w:eastAsia="仿宋_GB2312"/>
          <w:sz w:val="32"/>
          <w:szCs w:val="32"/>
        </w:rPr>
        <w:t>14</w:t>
      </w:r>
      <w:r w:rsidRPr="005A5B8C">
        <w:rPr>
          <w:rFonts w:eastAsia="仿宋_GB2312" w:hint="eastAsia"/>
          <w:sz w:val="32"/>
          <w:szCs w:val="32"/>
        </w:rPr>
        <w:t>岁以下儿童。</w:t>
      </w:r>
    </w:p>
    <w:sectPr w:rsidR="00DF5FF0" w:rsidRPr="00556625" w:rsidSect="005A5B8C">
      <w:footerReference w:type="even" r:id="rId6"/>
      <w:footerReference w:type="default" r:id="rId7"/>
      <w:pgSz w:w="11906" w:h="16838"/>
      <w:pgMar w:top="1928" w:right="1531" w:bottom="1758" w:left="1531" w:header="851" w:footer="124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75FA" w:rsidRDefault="003975FA" w:rsidP="00556625">
      <w:r>
        <w:separator/>
      </w:r>
    </w:p>
  </w:endnote>
  <w:endnote w:type="continuationSeparator" w:id="1">
    <w:p w:rsidR="003975FA" w:rsidRDefault="003975FA" w:rsidP="005566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63D" w:rsidRPr="005A5B8C" w:rsidRDefault="009C3815">
    <w:pPr>
      <w:pStyle w:val="a4"/>
      <w:rPr>
        <w:sz w:val="28"/>
        <w:szCs w:val="28"/>
      </w:rPr>
    </w:pPr>
    <w:r w:rsidRPr="005A5B8C">
      <w:rPr>
        <w:rFonts w:hint="eastAsia"/>
        <w:color w:val="FFFFFF" w:themeColor="background1"/>
        <w:sz w:val="28"/>
        <w:szCs w:val="28"/>
      </w:rPr>
      <w:t>—</w:t>
    </w:r>
    <w:r w:rsidRPr="005A5B8C">
      <w:rPr>
        <w:rFonts w:hint="eastAsia"/>
        <w:sz w:val="28"/>
        <w:szCs w:val="28"/>
      </w:rPr>
      <w:t>—</w:t>
    </w:r>
    <w:sdt>
      <w:sdtPr>
        <w:rPr>
          <w:sz w:val="28"/>
          <w:szCs w:val="28"/>
        </w:rPr>
        <w:id w:val="98774969"/>
        <w:docPartObj>
          <w:docPartGallery w:val="Page Numbers (Bottom of Page)"/>
          <w:docPartUnique/>
        </w:docPartObj>
      </w:sdtPr>
      <w:sdtContent>
        <w:r w:rsidR="00EC621C" w:rsidRPr="005A5B8C">
          <w:rPr>
            <w:sz w:val="28"/>
            <w:szCs w:val="28"/>
          </w:rPr>
          <w:fldChar w:fldCharType="begin"/>
        </w:r>
        <w:r w:rsidRPr="005A5B8C">
          <w:rPr>
            <w:sz w:val="28"/>
            <w:szCs w:val="28"/>
          </w:rPr>
          <w:instrText>PAGE   \* MERGEFORMAT</w:instrText>
        </w:r>
        <w:r w:rsidR="00EC621C" w:rsidRPr="005A5B8C">
          <w:rPr>
            <w:sz w:val="28"/>
            <w:szCs w:val="28"/>
          </w:rPr>
          <w:fldChar w:fldCharType="separate"/>
        </w:r>
        <w:r w:rsidRPr="00174124">
          <w:rPr>
            <w:noProof/>
            <w:sz w:val="28"/>
            <w:szCs w:val="28"/>
            <w:lang w:val="zh-CN"/>
          </w:rPr>
          <w:t>4</w:t>
        </w:r>
        <w:r w:rsidR="00EC621C" w:rsidRPr="005A5B8C">
          <w:rPr>
            <w:sz w:val="28"/>
            <w:szCs w:val="28"/>
          </w:rPr>
          <w:fldChar w:fldCharType="end"/>
        </w:r>
        <w:r w:rsidRPr="005A5B8C">
          <w:rPr>
            <w:rFonts w:hint="eastAsia"/>
            <w:sz w:val="28"/>
            <w:szCs w:val="28"/>
          </w:rPr>
          <w:t>—</w:t>
        </w:r>
      </w:sdtContent>
    </w:sdt>
  </w:p>
  <w:p w:rsidR="0064463D" w:rsidRDefault="003975FA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63D" w:rsidRPr="005A5B8C" w:rsidRDefault="009C3815">
    <w:pPr>
      <w:pStyle w:val="a4"/>
      <w:jc w:val="right"/>
      <w:rPr>
        <w:color w:val="FFFFFF" w:themeColor="background1"/>
        <w:sz w:val="28"/>
        <w:szCs w:val="28"/>
      </w:rPr>
    </w:pPr>
    <w:r w:rsidRPr="005A5B8C">
      <w:rPr>
        <w:rFonts w:hint="eastAsia"/>
        <w:sz w:val="28"/>
        <w:szCs w:val="28"/>
      </w:rPr>
      <w:t>—</w:t>
    </w:r>
    <w:sdt>
      <w:sdtPr>
        <w:rPr>
          <w:sz w:val="28"/>
          <w:szCs w:val="28"/>
        </w:rPr>
        <w:id w:val="-1708319229"/>
        <w:docPartObj>
          <w:docPartGallery w:val="Page Numbers (Bottom of Page)"/>
          <w:docPartUnique/>
        </w:docPartObj>
      </w:sdtPr>
      <w:sdtEndPr>
        <w:rPr>
          <w:color w:val="FFFFFF" w:themeColor="background1"/>
        </w:rPr>
      </w:sdtEndPr>
      <w:sdtContent>
        <w:r w:rsidR="00EC621C" w:rsidRPr="005A5B8C">
          <w:rPr>
            <w:sz w:val="28"/>
            <w:szCs w:val="28"/>
          </w:rPr>
          <w:fldChar w:fldCharType="begin"/>
        </w:r>
        <w:r w:rsidRPr="005A5B8C">
          <w:rPr>
            <w:sz w:val="28"/>
            <w:szCs w:val="28"/>
          </w:rPr>
          <w:instrText>PAGE   \* MERGEFORMAT</w:instrText>
        </w:r>
        <w:r w:rsidR="00EC621C" w:rsidRPr="005A5B8C">
          <w:rPr>
            <w:sz w:val="28"/>
            <w:szCs w:val="28"/>
          </w:rPr>
          <w:fldChar w:fldCharType="separate"/>
        </w:r>
        <w:r w:rsidR="00505A7B" w:rsidRPr="00505A7B">
          <w:rPr>
            <w:noProof/>
            <w:sz w:val="28"/>
            <w:szCs w:val="28"/>
            <w:lang w:val="zh-CN"/>
          </w:rPr>
          <w:t>2</w:t>
        </w:r>
        <w:r w:rsidR="00EC621C" w:rsidRPr="005A5B8C">
          <w:rPr>
            <w:sz w:val="28"/>
            <w:szCs w:val="28"/>
          </w:rPr>
          <w:fldChar w:fldCharType="end"/>
        </w:r>
        <w:r w:rsidRPr="005A5B8C">
          <w:rPr>
            <w:rFonts w:hint="eastAsia"/>
            <w:sz w:val="28"/>
            <w:szCs w:val="28"/>
          </w:rPr>
          <w:t>—</w:t>
        </w:r>
        <w:r w:rsidRPr="005A5B8C">
          <w:rPr>
            <w:rFonts w:hint="eastAsia"/>
            <w:color w:val="FFFFFF" w:themeColor="background1"/>
            <w:sz w:val="28"/>
            <w:szCs w:val="28"/>
          </w:rPr>
          <w:t>—</w:t>
        </w:r>
      </w:sdtContent>
    </w:sdt>
  </w:p>
  <w:p w:rsidR="003A5517" w:rsidRDefault="003975FA" w:rsidP="005A5B8C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75FA" w:rsidRDefault="003975FA" w:rsidP="00556625">
      <w:r>
        <w:separator/>
      </w:r>
    </w:p>
  </w:footnote>
  <w:footnote w:type="continuationSeparator" w:id="1">
    <w:p w:rsidR="003975FA" w:rsidRDefault="003975FA" w:rsidP="0055662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90439"/>
    <w:rsid w:val="00090439"/>
    <w:rsid w:val="00253B00"/>
    <w:rsid w:val="003975FA"/>
    <w:rsid w:val="00505A7B"/>
    <w:rsid w:val="00556625"/>
    <w:rsid w:val="009C3815"/>
    <w:rsid w:val="00B52472"/>
    <w:rsid w:val="00BE5FA0"/>
    <w:rsid w:val="00DF5FF0"/>
    <w:rsid w:val="00EC62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62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566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5662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5662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56625"/>
    <w:rPr>
      <w:sz w:val="18"/>
      <w:szCs w:val="18"/>
    </w:rPr>
  </w:style>
  <w:style w:type="paragraph" w:styleId="a5">
    <w:name w:val="List Paragraph"/>
    <w:basedOn w:val="a"/>
    <w:uiPriority w:val="34"/>
    <w:qFormat/>
    <w:rsid w:val="00556625"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62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566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5662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5662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56625"/>
    <w:rPr>
      <w:sz w:val="18"/>
      <w:szCs w:val="18"/>
    </w:rPr>
  </w:style>
  <w:style w:type="paragraph" w:styleId="a5">
    <w:name w:val="List Paragraph"/>
    <w:basedOn w:val="a"/>
    <w:uiPriority w:val="34"/>
    <w:qFormat/>
    <w:rsid w:val="00556625"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114</Words>
  <Characters>656</Characters>
  <Application>Microsoft Office Word</Application>
  <DocSecurity>0</DocSecurity>
  <Lines>5</Lines>
  <Paragraphs>1</Paragraphs>
  <ScaleCrop>false</ScaleCrop>
  <Company>CFDA</Company>
  <LinksUpToDate>false</LinksUpToDate>
  <CharactersWithSpaces>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耿欣</dc:creator>
  <cp:lastModifiedBy>wxl</cp:lastModifiedBy>
  <cp:revision>3</cp:revision>
  <dcterms:created xsi:type="dcterms:W3CDTF">2016-12-22T07:54:00Z</dcterms:created>
  <dcterms:modified xsi:type="dcterms:W3CDTF">2017-01-13T03:03:00Z</dcterms:modified>
</cp:coreProperties>
</file>