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7856" w:rsidRPr="00FC0F14" w:rsidRDefault="00617856" w:rsidP="00617856">
      <w:pPr>
        <w:spacing w:line="560" w:lineRule="exact"/>
        <w:ind w:right="159"/>
        <w:rPr>
          <w:rFonts w:ascii="黑体" w:eastAsia="黑体" w:hAnsi="黑体" w:hint="eastAsia"/>
          <w:kern w:val="32"/>
          <w:sz w:val="32"/>
        </w:rPr>
      </w:pPr>
      <w:r>
        <w:rPr>
          <w:rFonts w:ascii="黑体" w:eastAsia="黑体" w:hAnsi="黑体" w:hint="eastAsia"/>
          <w:color w:val="000000"/>
          <w:sz w:val="32"/>
        </w:rPr>
        <w:t>附件2</w:t>
      </w:r>
    </w:p>
    <w:p w:rsidR="00617856" w:rsidRDefault="00617856" w:rsidP="00617856">
      <w:pPr>
        <w:widowControl/>
        <w:spacing w:line="640" w:lineRule="exact"/>
        <w:jc w:val="center"/>
        <w:textAlignment w:val="baseline"/>
        <w:rPr>
          <w:rFonts w:ascii="方正小标宋简体" w:eastAsia="方正小标宋简体" w:hAnsi="仿宋_GB2312" w:hint="eastAsia"/>
          <w:sz w:val="44"/>
          <w:szCs w:val="44"/>
        </w:rPr>
      </w:pPr>
      <w:bookmarkStart w:id="0" w:name="_GoBack"/>
      <w:r w:rsidRPr="00AE4116">
        <w:rPr>
          <w:rFonts w:ascii="方正小标宋简体" w:eastAsia="方正小标宋简体" w:hint="eastAsia"/>
          <w:sz w:val="44"/>
          <w:szCs w:val="44"/>
        </w:rPr>
        <w:t>201</w:t>
      </w:r>
      <w:r>
        <w:rPr>
          <w:rFonts w:ascii="方正小标宋简体" w:eastAsia="方正小标宋简体" w:hint="eastAsia"/>
          <w:sz w:val="44"/>
          <w:szCs w:val="44"/>
        </w:rPr>
        <w:t>7</w:t>
      </w:r>
      <w:r w:rsidRPr="00AE4116">
        <w:rPr>
          <w:rFonts w:ascii="方正小标宋简体" w:eastAsia="方正小标宋简体" w:hAnsi="仿宋_GB2312" w:hint="eastAsia"/>
          <w:sz w:val="44"/>
          <w:szCs w:val="44"/>
        </w:rPr>
        <w:t>年第</w:t>
      </w:r>
      <w:r>
        <w:rPr>
          <w:rFonts w:ascii="方正小标宋简体" w:eastAsia="方正小标宋简体" w:hAnsi="仿宋_GB2312" w:hint="eastAsia"/>
          <w:sz w:val="44"/>
          <w:szCs w:val="44"/>
        </w:rPr>
        <w:t>1</w:t>
      </w:r>
      <w:r w:rsidRPr="00AE4116">
        <w:rPr>
          <w:rFonts w:ascii="方正小标宋简体" w:eastAsia="方正小标宋简体" w:hAnsi="仿宋_GB2312" w:hint="eastAsia"/>
          <w:sz w:val="44"/>
          <w:szCs w:val="44"/>
        </w:rPr>
        <w:t>期广西药品质量公告（总第</w:t>
      </w:r>
      <w:r>
        <w:rPr>
          <w:rFonts w:ascii="方正小标宋简体" w:eastAsia="方正小标宋简体" w:hAnsi="仿宋_GB2312" w:hint="eastAsia"/>
          <w:sz w:val="44"/>
          <w:szCs w:val="44"/>
        </w:rPr>
        <w:t>42</w:t>
      </w:r>
      <w:r w:rsidRPr="00AE4116">
        <w:rPr>
          <w:rFonts w:ascii="方正小标宋简体" w:eastAsia="方正小标宋简体" w:hAnsi="仿宋_GB2312" w:hint="eastAsia"/>
          <w:sz w:val="44"/>
          <w:szCs w:val="44"/>
        </w:rPr>
        <w:t>期）不符合标准规定药品列表</w:t>
      </w:r>
      <w:r>
        <w:rPr>
          <w:rFonts w:ascii="方正小标宋简体" w:eastAsia="方正小标宋简体" w:hAnsi="仿宋_GB2312" w:hint="eastAsia"/>
          <w:sz w:val="44"/>
          <w:szCs w:val="44"/>
        </w:rPr>
        <w:t>（中药饮片部分）</w:t>
      </w:r>
    </w:p>
    <w:bookmarkEnd w:id="0"/>
    <w:p w:rsidR="00617856" w:rsidRDefault="00617856" w:rsidP="00617856">
      <w:pPr>
        <w:spacing w:line="240" w:lineRule="exact"/>
        <w:rPr>
          <w:rFonts w:hint="eastAsia"/>
        </w:rPr>
      </w:pPr>
    </w:p>
    <w:tbl>
      <w:tblPr>
        <w:tblW w:w="14932" w:type="dxa"/>
        <w:jc w:val="center"/>
        <w:tblInd w:w="93" w:type="dxa"/>
        <w:tblLook w:val="04A0" w:firstRow="1" w:lastRow="0" w:firstColumn="1" w:lastColumn="0" w:noHBand="0" w:noVBand="1"/>
      </w:tblPr>
      <w:tblGrid>
        <w:gridCol w:w="756"/>
        <w:gridCol w:w="1240"/>
        <w:gridCol w:w="1660"/>
        <w:gridCol w:w="1840"/>
        <w:gridCol w:w="1080"/>
        <w:gridCol w:w="1080"/>
        <w:gridCol w:w="1900"/>
        <w:gridCol w:w="1610"/>
        <w:gridCol w:w="1701"/>
        <w:gridCol w:w="2065"/>
      </w:tblGrid>
      <w:tr w:rsidR="00617856" w:rsidRPr="00A6112C" w:rsidTr="00927601">
        <w:trPr>
          <w:trHeight w:val="450"/>
          <w:tblHeader/>
          <w:jc w:val="center"/>
        </w:trPr>
        <w:tc>
          <w:tcPr>
            <w:tcW w:w="756" w:type="dxa"/>
            <w:tcBorders>
              <w:top w:val="single" w:sz="4" w:space="0" w:color="auto"/>
              <w:left w:val="single" w:sz="4" w:space="0" w:color="auto"/>
              <w:bottom w:val="single" w:sz="4" w:space="0" w:color="auto"/>
              <w:right w:val="single" w:sz="4" w:space="0" w:color="auto"/>
            </w:tcBorders>
            <w:shd w:val="clear" w:color="auto" w:fill="auto"/>
            <w:vAlign w:val="center"/>
          </w:tcPr>
          <w:p w:rsidR="00617856" w:rsidRPr="00A6112C" w:rsidRDefault="00617856" w:rsidP="00927601">
            <w:pPr>
              <w:widowControl/>
              <w:jc w:val="center"/>
              <w:rPr>
                <w:rFonts w:ascii="宋体" w:hAnsi="宋体" w:cs="宋体"/>
                <w:b/>
                <w:bCs/>
                <w:color w:val="000000"/>
                <w:kern w:val="0"/>
                <w:sz w:val="18"/>
                <w:szCs w:val="18"/>
              </w:rPr>
            </w:pPr>
            <w:r w:rsidRPr="00A6112C">
              <w:rPr>
                <w:rFonts w:ascii="宋体" w:hAnsi="宋体" w:cs="宋体" w:hint="eastAsia"/>
                <w:b/>
                <w:bCs/>
                <w:color w:val="000000"/>
                <w:kern w:val="0"/>
                <w:sz w:val="18"/>
                <w:szCs w:val="18"/>
              </w:rPr>
              <w:t>序号</w:t>
            </w:r>
          </w:p>
        </w:tc>
        <w:tc>
          <w:tcPr>
            <w:tcW w:w="1240" w:type="dxa"/>
            <w:tcBorders>
              <w:top w:val="single" w:sz="4" w:space="0" w:color="auto"/>
              <w:left w:val="nil"/>
              <w:bottom w:val="single" w:sz="4" w:space="0" w:color="auto"/>
              <w:right w:val="single" w:sz="4" w:space="0" w:color="auto"/>
            </w:tcBorders>
            <w:shd w:val="clear" w:color="auto" w:fill="auto"/>
            <w:vAlign w:val="center"/>
          </w:tcPr>
          <w:p w:rsidR="00617856" w:rsidRPr="00A6112C" w:rsidRDefault="00617856" w:rsidP="00927601">
            <w:pPr>
              <w:widowControl/>
              <w:jc w:val="center"/>
              <w:rPr>
                <w:rFonts w:ascii="宋体" w:hAnsi="宋体" w:cs="宋体"/>
                <w:b/>
                <w:bCs/>
                <w:color w:val="000000"/>
                <w:kern w:val="0"/>
                <w:sz w:val="18"/>
                <w:szCs w:val="18"/>
              </w:rPr>
            </w:pPr>
            <w:r w:rsidRPr="00A6112C">
              <w:rPr>
                <w:rFonts w:ascii="宋体" w:hAnsi="宋体" w:cs="宋体" w:hint="eastAsia"/>
                <w:b/>
                <w:bCs/>
                <w:color w:val="000000"/>
                <w:kern w:val="0"/>
                <w:sz w:val="18"/>
                <w:szCs w:val="18"/>
              </w:rPr>
              <w:t>检品名称</w:t>
            </w:r>
          </w:p>
        </w:tc>
        <w:tc>
          <w:tcPr>
            <w:tcW w:w="1660" w:type="dxa"/>
            <w:tcBorders>
              <w:top w:val="single" w:sz="4" w:space="0" w:color="auto"/>
              <w:left w:val="nil"/>
              <w:bottom w:val="single" w:sz="4" w:space="0" w:color="auto"/>
              <w:right w:val="single" w:sz="4" w:space="0" w:color="auto"/>
            </w:tcBorders>
            <w:shd w:val="clear" w:color="auto" w:fill="auto"/>
            <w:vAlign w:val="center"/>
          </w:tcPr>
          <w:p w:rsidR="00617856" w:rsidRPr="00A6112C" w:rsidRDefault="00617856" w:rsidP="00927601">
            <w:pPr>
              <w:widowControl/>
              <w:jc w:val="center"/>
              <w:rPr>
                <w:rFonts w:ascii="宋体" w:hAnsi="宋体" w:cs="宋体"/>
                <w:b/>
                <w:bCs/>
                <w:color w:val="000000"/>
                <w:kern w:val="0"/>
                <w:sz w:val="18"/>
                <w:szCs w:val="18"/>
              </w:rPr>
            </w:pPr>
            <w:proofErr w:type="gramStart"/>
            <w:r w:rsidRPr="00A6112C">
              <w:rPr>
                <w:rFonts w:ascii="宋体" w:hAnsi="宋体" w:cs="宋体" w:hint="eastAsia"/>
                <w:b/>
                <w:bCs/>
                <w:color w:val="000000"/>
                <w:kern w:val="0"/>
                <w:sz w:val="18"/>
                <w:szCs w:val="18"/>
              </w:rPr>
              <w:t>供样单位</w:t>
            </w:r>
            <w:proofErr w:type="gramEnd"/>
          </w:p>
        </w:tc>
        <w:tc>
          <w:tcPr>
            <w:tcW w:w="1840" w:type="dxa"/>
            <w:tcBorders>
              <w:top w:val="single" w:sz="4" w:space="0" w:color="auto"/>
              <w:left w:val="nil"/>
              <w:bottom w:val="single" w:sz="4" w:space="0" w:color="auto"/>
              <w:right w:val="single" w:sz="4" w:space="0" w:color="auto"/>
            </w:tcBorders>
            <w:shd w:val="clear" w:color="auto" w:fill="auto"/>
            <w:vAlign w:val="center"/>
          </w:tcPr>
          <w:p w:rsidR="00617856" w:rsidRPr="00A6112C" w:rsidRDefault="00617856" w:rsidP="00927601">
            <w:pPr>
              <w:widowControl/>
              <w:jc w:val="center"/>
              <w:rPr>
                <w:rFonts w:ascii="宋体" w:hAnsi="宋体" w:cs="宋体"/>
                <w:b/>
                <w:bCs/>
                <w:color w:val="000000"/>
                <w:kern w:val="0"/>
                <w:sz w:val="18"/>
                <w:szCs w:val="18"/>
              </w:rPr>
            </w:pPr>
            <w:r w:rsidRPr="00A6112C">
              <w:rPr>
                <w:rFonts w:ascii="宋体" w:hAnsi="宋体" w:cs="宋体" w:hint="eastAsia"/>
                <w:b/>
                <w:bCs/>
                <w:color w:val="000000"/>
                <w:kern w:val="0"/>
                <w:sz w:val="18"/>
                <w:szCs w:val="18"/>
              </w:rPr>
              <w:t>标示生产单位</w:t>
            </w:r>
          </w:p>
        </w:tc>
        <w:tc>
          <w:tcPr>
            <w:tcW w:w="1080" w:type="dxa"/>
            <w:tcBorders>
              <w:top w:val="single" w:sz="4" w:space="0" w:color="auto"/>
              <w:left w:val="nil"/>
              <w:bottom w:val="single" w:sz="4" w:space="0" w:color="auto"/>
              <w:right w:val="single" w:sz="4" w:space="0" w:color="auto"/>
            </w:tcBorders>
            <w:shd w:val="clear" w:color="auto" w:fill="auto"/>
            <w:vAlign w:val="center"/>
          </w:tcPr>
          <w:p w:rsidR="00617856" w:rsidRPr="00A6112C" w:rsidRDefault="00617856" w:rsidP="00927601">
            <w:pPr>
              <w:widowControl/>
              <w:jc w:val="center"/>
              <w:rPr>
                <w:rFonts w:ascii="宋体" w:hAnsi="宋体" w:cs="宋体"/>
                <w:b/>
                <w:bCs/>
                <w:color w:val="000000"/>
                <w:kern w:val="0"/>
                <w:sz w:val="18"/>
                <w:szCs w:val="18"/>
              </w:rPr>
            </w:pPr>
            <w:r w:rsidRPr="00A6112C">
              <w:rPr>
                <w:rFonts w:ascii="宋体" w:hAnsi="宋体" w:cs="宋体" w:hint="eastAsia"/>
                <w:b/>
                <w:bCs/>
                <w:color w:val="000000"/>
                <w:kern w:val="0"/>
                <w:sz w:val="18"/>
                <w:szCs w:val="18"/>
              </w:rPr>
              <w:t>标示批号</w:t>
            </w:r>
          </w:p>
        </w:tc>
        <w:tc>
          <w:tcPr>
            <w:tcW w:w="1080" w:type="dxa"/>
            <w:tcBorders>
              <w:top w:val="single" w:sz="4" w:space="0" w:color="auto"/>
              <w:left w:val="nil"/>
              <w:bottom w:val="single" w:sz="4" w:space="0" w:color="auto"/>
              <w:right w:val="single" w:sz="4" w:space="0" w:color="auto"/>
            </w:tcBorders>
            <w:shd w:val="clear" w:color="auto" w:fill="auto"/>
            <w:vAlign w:val="center"/>
          </w:tcPr>
          <w:p w:rsidR="00617856" w:rsidRPr="00A6112C" w:rsidRDefault="00617856" w:rsidP="00927601">
            <w:pPr>
              <w:widowControl/>
              <w:jc w:val="center"/>
              <w:rPr>
                <w:rFonts w:ascii="宋体" w:hAnsi="宋体" w:cs="宋体"/>
                <w:b/>
                <w:bCs/>
                <w:color w:val="000000"/>
                <w:kern w:val="0"/>
                <w:sz w:val="18"/>
                <w:szCs w:val="18"/>
              </w:rPr>
            </w:pPr>
            <w:r w:rsidRPr="00A6112C">
              <w:rPr>
                <w:rFonts w:ascii="宋体" w:hAnsi="宋体" w:cs="宋体" w:hint="eastAsia"/>
                <w:b/>
                <w:bCs/>
                <w:color w:val="000000"/>
                <w:kern w:val="0"/>
                <w:sz w:val="18"/>
                <w:szCs w:val="18"/>
              </w:rPr>
              <w:t>标示规格</w:t>
            </w:r>
          </w:p>
        </w:tc>
        <w:tc>
          <w:tcPr>
            <w:tcW w:w="1900" w:type="dxa"/>
            <w:tcBorders>
              <w:top w:val="single" w:sz="4" w:space="0" w:color="auto"/>
              <w:left w:val="nil"/>
              <w:bottom w:val="single" w:sz="4" w:space="0" w:color="auto"/>
              <w:right w:val="single" w:sz="4" w:space="0" w:color="auto"/>
            </w:tcBorders>
            <w:shd w:val="clear" w:color="auto" w:fill="auto"/>
            <w:vAlign w:val="center"/>
          </w:tcPr>
          <w:p w:rsidR="00617856" w:rsidRPr="00A6112C" w:rsidRDefault="00617856" w:rsidP="00927601">
            <w:pPr>
              <w:widowControl/>
              <w:jc w:val="center"/>
              <w:rPr>
                <w:rFonts w:ascii="宋体" w:hAnsi="宋体" w:cs="宋体"/>
                <w:b/>
                <w:bCs/>
                <w:color w:val="000000"/>
                <w:kern w:val="0"/>
                <w:sz w:val="18"/>
                <w:szCs w:val="18"/>
              </w:rPr>
            </w:pPr>
            <w:r w:rsidRPr="00A6112C">
              <w:rPr>
                <w:rFonts w:ascii="宋体" w:hAnsi="宋体" w:cs="宋体" w:hint="eastAsia"/>
                <w:b/>
                <w:bCs/>
                <w:color w:val="000000"/>
                <w:kern w:val="0"/>
                <w:sz w:val="18"/>
                <w:szCs w:val="18"/>
              </w:rPr>
              <w:t>检验依据</w:t>
            </w:r>
          </w:p>
        </w:tc>
        <w:tc>
          <w:tcPr>
            <w:tcW w:w="1610" w:type="dxa"/>
            <w:tcBorders>
              <w:top w:val="single" w:sz="4" w:space="0" w:color="auto"/>
              <w:left w:val="nil"/>
              <w:bottom w:val="single" w:sz="4" w:space="0" w:color="auto"/>
              <w:right w:val="single" w:sz="4" w:space="0" w:color="auto"/>
            </w:tcBorders>
            <w:shd w:val="clear" w:color="auto" w:fill="auto"/>
            <w:vAlign w:val="center"/>
          </w:tcPr>
          <w:p w:rsidR="00617856" w:rsidRPr="00A6112C" w:rsidRDefault="00617856" w:rsidP="00927601">
            <w:pPr>
              <w:widowControl/>
              <w:jc w:val="center"/>
              <w:rPr>
                <w:rFonts w:ascii="宋体" w:hAnsi="宋体" w:cs="宋体"/>
                <w:b/>
                <w:bCs/>
                <w:color w:val="000000"/>
                <w:kern w:val="0"/>
                <w:sz w:val="18"/>
                <w:szCs w:val="18"/>
              </w:rPr>
            </w:pPr>
            <w:r w:rsidRPr="00A6112C">
              <w:rPr>
                <w:rFonts w:ascii="宋体" w:hAnsi="宋体" w:cs="宋体" w:hint="eastAsia"/>
                <w:b/>
                <w:bCs/>
                <w:color w:val="000000"/>
                <w:kern w:val="0"/>
                <w:sz w:val="18"/>
                <w:szCs w:val="18"/>
              </w:rPr>
              <w:t>检验结果</w:t>
            </w:r>
          </w:p>
        </w:tc>
        <w:tc>
          <w:tcPr>
            <w:tcW w:w="1701" w:type="dxa"/>
            <w:tcBorders>
              <w:top w:val="single" w:sz="4" w:space="0" w:color="auto"/>
              <w:left w:val="nil"/>
              <w:bottom w:val="single" w:sz="4" w:space="0" w:color="auto"/>
              <w:right w:val="single" w:sz="4" w:space="0" w:color="auto"/>
            </w:tcBorders>
            <w:shd w:val="clear" w:color="auto" w:fill="auto"/>
            <w:vAlign w:val="center"/>
          </w:tcPr>
          <w:p w:rsidR="00617856" w:rsidRPr="00A6112C" w:rsidRDefault="00617856" w:rsidP="00927601">
            <w:pPr>
              <w:widowControl/>
              <w:jc w:val="center"/>
              <w:rPr>
                <w:rFonts w:ascii="宋体" w:hAnsi="宋体" w:cs="宋体"/>
                <w:b/>
                <w:bCs/>
                <w:color w:val="000000"/>
                <w:kern w:val="0"/>
                <w:sz w:val="18"/>
                <w:szCs w:val="18"/>
              </w:rPr>
            </w:pPr>
            <w:r w:rsidRPr="00A6112C">
              <w:rPr>
                <w:rFonts w:ascii="宋体" w:hAnsi="宋体" w:cs="宋体" w:hint="eastAsia"/>
                <w:b/>
                <w:bCs/>
                <w:color w:val="000000"/>
                <w:kern w:val="0"/>
                <w:sz w:val="18"/>
                <w:szCs w:val="18"/>
              </w:rPr>
              <w:t>不符合项目</w:t>
            </w:r>
          </w:p>
        </w:tc>
        <w:tc>
          <w:tcPr>
            <w:tcW w:w="2065" w:type="dxa"/>
            <w:tcBorders>
              <w:top w:val="single" w:sz="4" w:space="0" w:color="auto"/>
              <w:left w:val="nil"/>
              <w:bottom w:val="single" w:sz="4" w:space="0" w:color="auto"/>
              <w:right w:val="single" w:sz="4" w:space="0" w:color="auto"/>
            </w:tcBorders>
            <w:shd w:val="clear" w:color="auto" w:fill="auto"/>
            <w:vAlign w:val="center"/>
          </w:tcPr>
          <w:p w:rsidR="00617856" w:rsidRPr="00A6112C" w:rsidRDefault="00617856" w:rsidP="00927601">
            <w:pPr>
              <w:widowControl/>
              <w:jc w:val="center"/>
              <w:rPr>
                <w:rFonts w:ascii="宋体" w:hAnsi="宋体" w:cs="宋体"/>
                <w:b/>
                <w:bCs/>
                <w:color w:val="000000"/>
                <w:kern w:val="0"/>
                <w:sz w:val="18"/>
                <w:szCs w:val="18"/>
              </w:rPr>
            </w:pPr>
            <w:r w:rsidRPr="00A6112C">
              <w:rPr>
                <w:rFonts w:ascii="宋体" w:hAnsi="宋体" w:cs="宋体" w:hint="eastAsia"/>
                <w:b/>
                <w:bCs/>
                <w:color w:val="000000"/>
                <w:kern w:val="0"/>
                <w:sz w:val="18"/>
                <w:szCs w:val="18"/>
              </w:rPr>
              <w:t>检验单位</w:t>
            </w:r>
          </w:p>
        </w:tc>
      </w:tr>
      <w:tr w:rsidR="00617856" w:rsidRPr="00A6112C" w:rsidTr="00927601">
        <w:trPr>
          <w:trHeight w:val="750"/>
          <w:jc w:val="center"/>
        </w:trPr>
        <w:tc>
          <w:tcPr>
            <w:tcW w:w="756" w:type="dxa"/>
            <w:tcBorders>
              <w:top w:val="nil"/>
              <w:left w:val="single" w:sz="4" w:space="0" w:color="auto"/>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1</w:t>
            </w:r>
          </w:p>
        </w:tc>
        <w:tc>
          <w:tcPr>
            <w:tcW w:w="124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巴戟天（盐巴戟天）</w:t>
            </w:r>
          </w:p>
        </w:tc>
        <w:tc>
          <w:tcPr>
            <w:tcW w:w="166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广西汇粹药业有限公司</w:t>
            </w:r>
          </w:p>
        </w:tc>
        <w:tc>
          <w:tcPr>
            <w:tcW w:w="184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广西汇粹药业有限公司</w:t>
            </w:r>
          </w:p>
        </w:tc>
        <w:tc>
          <w:tcPr>
            <w:tcW w:w="108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20151201</w:t>
            </w:r>
          </w:p>
        </w:tc>
        <w:tc>
          <w:tcPr>
            <w:tcW w:w="108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w:t>
            </w:r>
          </w:p>
        </w:tc>
        <w:tc>
          <w:tcPr>
            <w:tcW w:w="190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《中国药典》2015年版一部</w:t>
            </w:r>
          </w:p>
        </w:tc>
        <w:tc>
          <w:tcPr>
            <w:tcW w:w="161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不符合规定</w:t>
            </w:r>
          </w:p>
        </w:tc>
        <w:tc>
          <w:tcPr>
            <w:tcW w:w="1701"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水分</w:t>
            </w:r>
            <w:r>
              <w:rPr>
                <w:rFonts w:ascii="宋体" w:hAnsi="宋体" w:cs="宋体" w:hint="eastAsia"/>
                <w:color w:val="000000"/>
                <w:kern w:val="0"/>
                <w:sz w:val="18"/>
                <w:szCs w:val="18"/>
              </w:rPr>
              <w:t>、</w:t>
            </w:r>
            <w:r w:rsidRPr="00A6112C">
              <w:rPr>
                <w:rFonts w:ascii="宋体" w:hAnsi="宋体" w:cs="宋体" w:hint="eastAsia"/>
                <w:color w:val="000000"/>
                <w:kern w:val="0"/>
                <w:sz w:val="18"/>
                <w:szCs w:val="18"/>
              </w:rPr>
              <w:t>含量测定</w:t>
            </w:r>
          </w:p>
        </w:tc>
        <w:tc>
          <w:tcPr>
            <w:tcW w:w="2065"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北海食品药品检验所</w:t>
            </w:r>
          </w:p>
        </w:tc>
      </w:tr>
      <w:tr w:rsidR="00617856" w:rsidRPr="00A6112C" w:rsidTr="00927601">
        <w:trPr>
          <w:trHeight w:val="750"/>
          <w:jc w:val="center"/>
        </w:trPr>
        <w:tc>
          <w:tcPr>
            <w:tcW w:w="756" w:type="dxa"/>
            <w:tcBorders>
              <w:top w:val="nil"/>
              <w:left w:val="single" w:sz="4" w:space="0" w:color="auto"/>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2</w:t>
            </w:r>
          </w:p>
        </w:tc>
        <w:tc>
          <w:tcPr>
            <w:tcW w:w="124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蛇蜕</w:t>
            </w:r>
          </w:p>
        </w:tc>
        <w:tc>
          <w:tcPr>
            <w:tcW w:w="166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桂林兴安县</w:t>
            </w:r>
            <w:proofErr w:type="gramStart"/>
            <w:r w:rsidRPr="00A6112C">
              <w:rPr>
                <w:rFonts w:ascii="宋体" w:hAnsi="宋体" w:cs="宋体" w:hint="eastAsia"/>
                <w:color w:val="000000"/>
                <w:kern w:val="0"/>
                <w:sz w:val="18"/>
                <w:szCs w:val="18"/>
              </w:rPr>
              <w:t>鑫鑫</w:t>
            </w:r>
            <w:proofErr w:type="gramEnd"/>
            <w:r w:rsidRPr="00A6112C">
              <w:rPr>
                <w:rFonts w:ascii="宋体" w:hAnsi="宋体" w:cs="宋体" w:hint="eastAsia"/>
                <w:color w:val="000000"/>
                <w:kern w:val="0"/>
                <w:sz w:val="18"/>
                <w:szCs w:val="18"/>
              </w:rPr>
              <w:t>中药饮片有限公司</w:t>
            </w:r>
          </w:p>
        </w:tc>
        <w:tc>
          <w:tcPr>
            <w:tcW w:w="184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桂林兴安县</w:t>
            </w:r>
            <w:proofErr w:type="gramStart"/>
            <w:r w:rsidRPr="00A6112C">
              <w:rPr>
                <w:rFonts w:ascii="宋体" w:hAnsi="宋体" w:cs="宋体" w:hint="eastAsia"/>
                <w:color w:val="000000"/>
                <w:kern w:val="0"/>
                <w:sz w:val="18"/>
                <w:szCs w:val="18"/>
              </w:rPr>
              <w:t>鑫鑫</w:t>
            </w:r>
            <w:proofErr w:type="gramEnd"/>
            <w:r w:rsidRPr="00A6112C">
              <w:rPr>
                <w:rFonts w:ascii="宋体" w:hAnsi="宋体" w:cs="宋体" w:hint="eastAsia"/>
                <w:color w:val="000000"/>
                <w:kern w:val="0"/>
                <w:sz w:val="18"/>
                <w:szCs w:val="18"/>
              </w:rPr>
              <w:t>中药饮片有限公司</w:t>
            </w:r>
          </w:p>
        </w:tc>
        <w:tc>
          <w:tcPr>
            <w:tcW w:w="108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160301</w:t>
            </w:r>
          </w:p>
        </w:tc>
        <w:tc>
          <w:tcPr>
            <w:tcW w:w="108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饮片</w:t>
            </w:r>
          </w:p>
        </w:tc>
        <w:tc>
          <w:tcPr>
            <w:tcW w:w="190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《中国药典》2015年版一部</w:t>
            </w:r>
          </w:p>
        </w:tc>
        <w:tc>
          <w:tcPr>
            <w:tcW w:w="161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不符合规定</w:t>
            </w:r>
          </w:p>
        </w:tc>
        <w:tc>
          <w:tcPr>
            <w:tcW w:w="1701"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[检查</w:t>
            </w:r>
            <w:r>
              <w:rPr>
                <w:rFonts w:ascii="宋体" w:hAnsi="宋体" w:cs="宋体" w:hint="eastAsia"/>
                <w:color w:val="000000"/>
                <w:kern w:val="0"/>
                <w:sz w:val="18"/>
                <w:szCs w:val="18"/>
              </w:rPr>
              <w:t>]</w:t>
            </w:r>
            <w:r w:rsidRPr="00A6112C">
              <w:rPr>
                <w:rFonts w:ascii="宋体" w:hAnsi="宋体" w:cs="宋体" w:hint="eastAsia"/>
                <w:color w:val="000000"/>
                <w:kern w:val="0"/>
                <w:sz w:val="18"/>
                <w:szCs w:val="18"/>
              </w:rPr>
              <w:t>酸不溶性灰分</w:t>
            </w:r>
          </w:p>
        </w:tc>
        <w:tc>
          <w:tcPr>
            <w:tcW w:w="2065"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桂林食品药品检验所</w:t>
            </w:r>
          </w:p>
        </w:tc>
      </w:tr>
      <w:tr w:rsidR="00617856" w:rsidRPr="00A6112C" w:rsidTr="00927601">
        <w:trPr>
          <w:trHeight w:val="750"/>
          <w:jc w:val="center"/>
        </w:trPr>
        <w:tc>
          <w:tcPr>
            <w:tcW w:w="756" w:type="dxa"/>
            <w:tcBorders>
              <w:top w:val="nil"/>
              <w:left w:val="single" w:sz="4" w:space="0" w:color="auto"/>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3</w:t>
            </w:r>
          </w:p>
        </w:tc>
        <w:tc>
          <w:tcPr>
            <w:tcW w:w="124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猪苓</w:t>
            </w:r>
          </w:p>
        </w:tc>
        <w:tc>
          <w:tcPr>
            <w:tcW w:w="166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南宁生源中药饮片有限责任公司</w:t>
            </w:r>
          </w:p>
        </w:tc>
        <w:tc>
          <w:tcPr>
            <w:tcW w:w="184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南宁生源中药饮片有限责任公司</w:t>
            </w:r>
          </w:p>
        </w:tc>
        <w:tc>
          <w:tcPr>
            <w:tcW w:w="108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160401</w:t>
            </w:r>
          </w:p>
        </w:tc>
        <w:tc>
          <w:tcPr>
            <w:tcW w:w="108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w:t>
            </w:r>
          </w:p>
        </w:tc>
        <w:tc>
          <w:tcPr>
            <w:tcW w:w="190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《中国药典》2015年版一部及国家食品药品监督管理总局药品检验补充检验方法和检验项目批准件2010007</w:t>
            </w:r>
          </w:p>
        </w:tc>
        <w:tc>
          <w:tcPr>
            <w:tcW w:w="161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不符合规定</w:t>
            </w:r>
          </w:p>
        </w:tc>
        <w:tc>
          <w:tcPr>
            <w:tcW w:w="1701"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总灰分、镁盐铝盐</w:t>
            </w:r>
          </w:p>
        </w:tc>
        <w:tc>
          <w:tcPr>
            <w:tcW w:w="2065"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广西区食品药品检验所</w:t>
            </w:r>
          </w:p>
        </w:tc>
      </w:tr>
      <w:tr w:rsidR="00617856" w:rsidRPr="00A6112C" w:rsidTr="00927601">
        <w:trPr>
          <w:trHeight w:val="750"/>
          <w:jc w:val="center"/>
        </w:trPr>
        <w:tc>
          <w:tcPr>
            <w:tcW w:w="756" w:type="dxa"/>
            <w:tcBorders>
              <w:top w:val="nil"/>
              <w:left w:val="single" w:sz="4" w:space="0" w:color="auto"/>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4</w:t>
            </w:r>
          </w:p>
        </w:tc>
        <w:tc>
          <w:tcPr>
            <w:tcW w:w="124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首乌藤</w:t>
            </w:r>
          </w:p>
        </w:tc>
        <w:tc>
          <w:tcPr>
            <w:tcW w:w="166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南宁生源中药饮片有限责任公司</w:t>
            </w:r>
          </w:p>
        </w:tc>
        <w:tc>
          <w:tcPr>
            <w:tcW w:w="184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南宁生源中药饮片有限责任公司</w:t>
            </w:r>
          </w:p>
        </w:tc>
        <w:tc>
          <w:tcPr>
            <w:tcW w:w="108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160301</w:t>
            </w:r>
          </w:p>
        </w:tc>
        <w:tc>
          <w:tcPr>
            <w:tcW w:w="108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w:t>
            </w:r>
          </w:p>
        </w:tc>
        <w:tc>
          <w:tcPr>
            <w:tcW w:w="190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《中国药典》2015年版一部</w:t>
            </w:r>
          </w:p>
        </w:tc>
        <w:tc>
          <w:tcPr>
            <w:tcW w:w="161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不符合规定</w:t>
            </w:r>
          </w:p>
        </w:tc>
        <w:tc>
          <w:tcPr>
            <w:tcW w:w="1701"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含量测定</w:t>
            </w:r>
          </w:p>
        </w:tc>
        <w:tc>
          <w:tcPr>
            <w:tcW w:w="2065"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广西区食品药品检验所</w:t>
            </w:r>
          </w:p>
        </w:tc>
      </w:tr>
      <w:tr w:rsidR="00617856" w:rsidRPr="00A6112C" w:rsidTr="00927601">
        <w:trPr>
          <w:trHeight w:val="750"/>
          <w:jc w:val="center"/>
        </w:trPr>
        <w:tc>
          <w:tcPr>
            <w:tcW w:w="756" w:type="dxa"/>
            <w:tcBorders>
              <w:top w:val="nil"/>
              <w:left w:val="single" w:sz="4" w:space="0" w:color="auto"/>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5</w:t>
            </w:r>
          </w:p>
        </w:tc>
        <w:tc>
          <w:tcPr>
            <w:tcW w:w="124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天花粉</w:t>
            </w:r>
          </w:p>
        </w:tc>
        <w:tc>
          <w:tcPr>
            <w:tcW w:w="166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广西南宁桂和堂中药制药有限公司</w:t>
            </w:r>
          </w:p>
        </w:tc>
        <w:tc>
          <w:tcPr>
            <w:tcW w:w="184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广西南宁桂和堂中药制药有限公司</w:t>
            </w:r>
          </w:p>
        </w:tc>
        <w:tc>
          <w:tcPr>
            <w:tcW w:w="108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150901</w:t>
            </w:r>
          </w:p>
        </w:tc>
        <w:tc>
          <w:tcPr>
            <w:tcW w:w="108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w:t>
            </w:r>
          </w:p>
        </w:tc>
        <w:tc>
          <w:tcPr>
            <w:tcW w:w="190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《中国药典》2010年版第二增补本</w:t>
            </w:r>
          </w:p>
        </w:tc>
        <w:tc>
          <w:tcPr>
            <w:tcW w:w="161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不符合规定</w:t>
            </w:r>
          </w:p>
        </w:tc>
        <w:tc>
          <w:tcPr>
            <w:tcW w:w="1701"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二氧化硫残留量</w:t>
            </w:r>
          </w:p>
        </w:tc>
        <w:tc>
          <w:tcPr>
            <w:tcW w:w="2065"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广西区食品药品检验所</w:t>
            </w:r>
          </w:p>
        </w:tc>
      </w:tr>
      <w:tr w:rsidR="00617856" w:rsidRPr="00A6112C" w:rsidTr="00927601">
        <w:trPr>
          <w:trHeight w:val="750"/>
          <w:jc w:val="center"/>
        </w:trPr>
        <w:tc>
          <w:tcPr>
            <w:tcW w:w="756" w:type="dxa"/>
            <w:tcBorders>
              <w:top w:val="nil"/>
              <w:left w:val="single" w:sz="4" w:space="0" w:color="auto"/>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6</w:t>
            </w:r>
          </w:p>
        </w:tc>
        <w:tc>
          <w:tcPr>
            <w:tcW w:w="124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天花粉</w:t>
            </w:r>
          </w:p>
        </w:tc>
        <w:tc>
          <w:tcPr>
            <w:tcW w:w="166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广西南宁市仁众药业有限责任公司</w:t>
            </w:r>
          </w:p>
        </w:tc>
        <w:tc>
          <w:tcPr>
            <w:tcW w:w="184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广西南宁市仁众药业有限责任公司</w:t>
            </w:r>
          </w:p>
        </w:tc>
        <w:tc>
          <w:tcPr>
            <w:tcW w:w="108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160202</w:t>
            </w:r>
          </w:p>
        </w:tc>
        <w:tc>
          <w:tcPr>
            <w:tcW w:w="108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w:t>
            </w:r>
          </w:p>
        </w:tc>
        <w:tc>
          <w:tcPr>
            <w:tcW w:w="190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《中国药典》2015年版一部</w:t>
            </w:r>
          </w:p>
        </w:tc>
        <w:tc>
          <w:tcPr>
            <w:tcW w:w="161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不符合规定</w:t>
            </w:r>
          </w:p>
        </w:tc>
        <w:tc>
          <w:tcPr>
            <w:tcW w:w="1701"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二氧化硫残留量</w:t>
            </w:r>
          </w:p>
        </w:tc>
        <w:tc>
          <w:tcPr>
            <w:tcW w:w="2065"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广西区食品药品检验所</w:t>
            </w:r>
          </w:p>
        </w:tc>
      </w:tr>
      <w:tr w:rsidR="00617856" w:rsidRPr="00A6112C" w:rsidTr="00927601">
        <w:trPr>
          <w:trHeight w:val="750"/>
          <w:jc w:val="center"/>
        </w:trPr>
        <w:tc>
          <w:tcPr>
            <w:tcW w:w="756" w:type="dxa"/>
            <w:tcBorders>
              <w:top w:val="nil"/>
              <w:left w:val="single" w:sz="4" w:space="0" w:color="auto"/>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lastRenderedPageBreak/>
              <w:t>7</w:t>
            </w:r>
          </w:p>
        </w:tc>
        <w:tc>
          <w:tcPr>
            <w:tcW w:w="124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首乌藤</w:t>
            </w:r>
          </w:p>
        </w:tc>
        <w:tc>
          <w:tcPr>
            <w:tcW w:w="166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广西南宁市仁众药业有限责任公司</w:t>
            </w:r>
          </w:p>
        </w:tc>
        <w:tc>
          <w:tcPr>
            <w:tcW w:w="184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广西南宁市仁众药业有限责任公司</w:t>
            </w:r>
          </w:p>
        </w:tc>
        <w:tc>
          <w:tcPr>
            <w:tcW w:w="108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160401</w:t>
            </w:r>
          </w:p>
        </w:tc>
        <w:tc>
          <w:tcPr>
            <w:tcW w:w="108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w:t>
            </w:r>
          </w:p>
        </w:tc>
        <w:tc>
          <w:tcPr>
            <w:tcW w:w="190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《中国药典》2015年版一部</w:t>
            </w:r>
          </w:p>
        </w:tc>
        <w:tc>
          <w:tcPr>
            <w:tcW w:w="161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不符合规定</w:t>
            </w:r>
          </w:p>
        </w:tc>
        <w:tc>
          <w:tcPr>
            <w:tcW w:w="1701"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浸出物、含量测定</w:t>
            </w:r>
          </w:p>
        </w:tc>
        <w:tc>
          <w:tcPr>
            <w:tcW w:w="2065"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广西区食品药品检验所</w:t>
            </w:r>
          </w:p>
        </w:tc>
      </w:tr>
      <w:tr w:rsidR="00617856" w:rsidRPr="00A6112C" w:rsidTr="00927601">
        <w:trPr>
          <w:trHeight w:val="750"/>
          <w:jc w:val="center"/>
        </w:trPr>
        <w:tc>
          <w:tcPr>
            <w:tcW w:w="756" w:type="dxa"/>
            <w:tcBorders>
              <w:top w:val="nil"/>
              <w:left w:val="single" w:sz="4" w:space="0" w:color="auto"/>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8</w:t>
            </w:r>
          </w:p>
        </w:tc>
        <w:tc>
          <w:tcPr>
            <w:tcW w:w="124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海金沙</w:t>
            </w:r>
          </w:p>
        </w:tc>
        <w:tc>
          <w:tcPr>
            <w:tcW w:w="166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广西南宁市仁众药业有限责任公司</w:t>
            </w:r>
          </w:p>
        </w:tc>
        <w:tc>
          <w:tcPr>
            <w:tcW w:w="184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广西南宁市仁众药业有限责任公司</w:t>
            </w:r>
          </w:p>
        </w:tc>
        <w:tc>
          <w:tcPr>
            <w:tcW w:w="108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160301</w:t>
            </w:r>
          </w:p>
        </w:tc>
        <w:tc>
          <w:tcPr>
            <w:tcW w:w="108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w:t>
            </w:r>
          </w:p>
        </w:tc>
        <w:tc>
          <w:tcPr>
            <w:tcW w:w="190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《中国药典》2015年版一部</w:t>
            </w:r>
          </w:p>
        </w:tc>
        <w:tc>
          <w:tcPr>
            <w:tcW w:w="161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不符合规定</w:t>
            </w:r>
          </w:p>
        </w:tc>
        <w:tc>
          <w:tcPr>
            <w:tcW w:w="1701"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总灰分</w:t>
            </w:r>
          </w:p>
        </w:tc>
        <w:tc>
          <w:tcPr>
            <w:tcW w:w="2065"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广西区食品药品检验所</w:t>
            </w:r>
          </w:p>
        </w:tc>
      </w:tr>
      <w:tr w:rsidR="00617856" w:rsidRPr="00A6112C" w:rsidTr="00927601">
        <w:trPr>
          <w:trHeight w:val="750"/>
          <w:jc w:val="center"/>
        </w:trPr>
        <w:tc>
          <w:tcPr>
            <w:tcW w:w="756" w:type="dxa"/>
            <w:tcBorders>
              <w:top w:val="nil"/>
              <w:left w:val="single" w:sz="4" w:space="0" w:color="auto"/>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9</w:t>
            </w:r>
          </w:p>
        </w:tc>
        <w:tc>
          <w:tcPr>
            <w:tcW w:w="124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proofErr w:type="gramStart"/>
            <w:r w:rsidRPr="00A6112C">
              <w:rPr>
                <w:rFonts w:ascii="宋体" w:hAnsi="宋体" w:cs="宋体" w:hint="eastAsia"/>
                <w:color w:val="000000"/>
                <w:kern w:val="0"/>
                <w:sz w:val="18"/>
                <w:szCs w:val="18"/>
              </w:rPr>
              <w:t>醋</w:t>
            </w:r>
            <w:proofErr w:type="gramEnd"/>
            <w:r w:rsidRPr="00A6112C">
              <w:rPr>
                <w:rFonts w:ascii="宋体" w:hAnsi="宋体" w:cs="宋体" w:hint="eastAsia"/>
                <w:color w:val="000000"/>
                <w:kern w:val="0"/>
                <w:sz w:val="18"/>
                <w:szCs w:val="18"/>
              </w:rPr>
              <w:t>龟甲</w:t>
            </w:r>
          </w:p>
        </w:tc>
        <w:tc>
          <w:tcPr>
            <w:tcW w:w="166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南宁市万药堂药业有限公司</w:t>
            </w:r>
          </w:p>
        </w:tc>
        <w:tc>
          <w:tcPr>
            <w:tcW w:w="184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南宁市万药堂药业有限公司</w:t>
            </w:r>
          </w:p>
        </w:tc>
        <w:tc>
          <w:tcPr>
            <w:tcW w:w="108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160301</w:t>
            </w:r>
          </w:p>
        </w:tc>
        <w:tc>
          <w:tcPr>
            <w:tcW w:w="108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smartTag w:uri="urn:schemas-microsoft-com:office:smarttags" w:element="chmetcnv">
              <w:smartTagPr>
                <w:attr w:name="UnitName" w:val="g"/>
                <w:attr w:name="SourceValue" w:val="500"/>
                <w:attr w:name="HasSpace" w:val="False"/>
                <w:attr w:name="Negative" w:val="False"/>
                <w:attr w:name="NumberType" w:val="1"/>
                <w:attr w:name="TCSC" w:val="0"/>
              </w:smartTagPr>
              <w:r w:rsidRPr="00A6112C">
                <w:rPr>
                  <w:rFonts w:ascii="宋体" w:hAnsi="宋体" w:cs="宋体" w:hint="eastAsia"/>
                  <w:color w:val="000000"/>
                  <w:kern w:val="0"/>
                  <w:sz w:val="18"/>
                  <w:szCs w:val="18"/>
                </w:rPr>
                <w:t>500g</w:t>
              </w:r>
            </w:smartTag>
            <w:r w:rsidRPr="00A6112C">
              <w:rPr>
                <w:rFonts w:ascii="宋体" w:hAnsi="宋体" w:cs="宋体" w:hint="eastAsia"/>
                <w:color w:val="000000"/>
                <w:kern w:val="0"/>
                <w:sz w:val="18"/>
                <w:szCs w:val="18"/>
              </w:rPr>
              <w:t>/袋</w:t>
            </w:r>
          </w:p>
        </w:tc>
        <w:tc>
          <w:tcPr>
            <w:tcW w:w="190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《中国药典》2015年版一部</w:t>
            </w:r>
          </w:p>
        </w:tc>
        <w:tc>
          <w:tcPr>
            <w:tcW w:w="161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不符合规定</w:t>
            </w:r>
          </w:p>
        </w:tc>
        <w:tc>
          <w:tcPr>
            <w:tcW w:w="1701"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性状</w:t>
            </w:r>
          </w:p>
        </w:tc>
        <w:tc>
          <w:tcPr>
            <w:tcW w:w="2065"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广西区食品药品检验所</w:t>
            </w:r>
          </w:p>
        </w:tc>
      </w:tr>
      <w:tr w:rsidR="00617856" w:rsidRPr="00A6112C" w:rsidTr="00927601">
        <w:trPr>
          <w:trHeight w:val="750"/>
          <w:jc w:val="center"/>
        </w:trPr>
        <w:tc>
          <w:tcPr>
            <w:tcW w:w="756" w:type="dxa"/>
            <w:tcBorders>
              <w:top w:val="nil"/>
              <w:left w:val="single" w:sz="4" w:space="0" w:color="auto"/>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10</w:t>
            </w:r>
          </w:p>
        </w:tc>
        <w:tc>
          <w:tcPr>
            <w:tcW w:w="124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檀香</w:t>
            </w:r>
          </w:p>
        </w:tc>
        <w:tc>
          <w:tcPr>
            <w:tcW w:w="166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广西桂学药业有限公司</w:t>
            </w:r>
          </w:p>
        </w:tc>
        <w:tc>
          <w:tcPr>
            <w:tcW w:w="184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广西桂学药业有限公司</w:t>
            </w:r>
          </w:p>
        </w:tc>
        <w:tc>
          <w:tcPr>
            <w:tcW w:w="108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160401</w:t>
            </w:r>
          </w:p>
        </w:tc>
        <w:tc>
          <w:tcPr>
            <w:tcW w:w="108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smartTag w:uri="urn:schemas-microsoft-com:office:smarttags" w:element="chmetcnv">
              <w:smartTagPr>
                <w:attr w:name="UnitName" w:val="kg"/>
                <w:attr w:name="SourceValue" w:val="0.08"/>
                <w:attr w:name="HasSpace" w:val="False"/>
                <w:attr w:name="Negative" w:val="False"/>
                <w:attr w:name="NumberType" w:val="1"/>
                <w:attr w:name="TCSC" w:val="0"/>
              </w:smartTagPr>
              <w:r w:rsidRPr="00A6112C">
                <w:rPr>
                  <w:rFonts w:ascii="宋体" w:hAnsi="宋体" w:cs="宋体" w:hint="eastAsia"/>
                  <w:color w:val="000000"/>
                  <w:kern w:val="0"/>
                  <w:sz w:val="18"/>
                  <w:szCs w:val="18"/>
                </w:rPr>
                <w:t>0.08kg</w:t>
              </w:r>
            </w:smartTag>
          </w:p>
        </w:tc>
        <w:tc>
          <w:tcPr>
            <w:tcW w:w="190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《中国药典》2015年版一部及《广西壮族自治区中药饮片炮制规范》（2007年版）</w:t>
            </w:r>
          </w:p>
        </w:tc>
        <w:tc>
          <w:tcPr>
            <w:tcW w:w="161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不符合规定</w:t>
            </w:r>
          </w:p>
        </w:tc>
        <w:tc>
          <w:tcPr>
            <w:tcW w:w="1701"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性状、挥发油</w:t>
            </w:r>
          </w:p>
        </w:tc>
        <w:tc>
          <w:tcPr>
            <w:tcW w:w="2065"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广西区食品药品检验所</w:t>
            </w:r>
          </w:p>
        </w:tc>
      </w:tr>
      <w:tr w:rsidR="00617856" w:rsidRPr="00A6112C" w:rsidTr="00927601">
        <w:trPr>
          <w:trHeight w:val="750"/>
          <w:jc w:val="center"/>
        </w:trPr>
        <w:tc>
          <w:tcPr>
            <w:tcW w:w="756" w:type="dxa"/>
            <w:tcBorders>
              <w:top w:val="nil"/>
              <w:left w:val="single" w:sz="4" w:space="0" w:color="auto"/>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11</w:t>
            </w:r>
          </w:p>
        </w:tc>
        <w:tc>
          <w:tcPr>
            <w:tcW w:w="124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党参</w:t>
            </w:r>
          </w:p>
        </w:tc>
        <w:tc>
          <w:tcPr>
            <w:tcW w:w="166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广西华芝堂中药有限公司</w:t>
            </w:r>
          </w:p>
        </w:tc>
        <w:tc>
          <w:tcPr>
            <w:tcW w:w="184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广西华芝堂中药有限公司</w:t>
            </w:r>
          </w:p>
        </w:tc>
        <w:tc>
          <w:tcPr>
            <w:tcW w:w="108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151001</w:t>
            </w:r>
          </w:p>
        </w:tc>
        <w:tc>
          <w:tcPr>
            <w:tcW w:w="108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w:t>
            </w:r>
          </w:p>
        </w:tc>
        <w:tc>
          <w:tcPr>
            <w:tcW w:w="190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《中国药典》2010年版第二增补本及《广西壮族自治区中药饮片炮制规范》2007年版</w:t>
            </w:r>
          </w:p>
        </w:tc>
        <w:tc>
          <w:tcPr>
            <w:tcW w:w="161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不符合规定</w:t>
            </w:r>
          </w:p>
        </w:tc>
        <w:tc>
          <w:tcPr>
            <w:tcW w:w="1701"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[检查]二氧化硫残留量</w:t>
            </w:r>
          </w:p>
        </w:tc>
        <w:tc>
          <w:tcPr>
            <w:tcW w:w="2065"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北海食品药品检验所</w:t>
            </w:r>
          </w:p>
        </w:tc>
      </w:tr>
      <w:tr w:rsidR="00617856" w:rsidRPr="00A6112C" w:rsidTr="00927601">
        <w:trPr>
          <w:trHeight w:val="750"/>
          <w:jc w:val="center"/>
        </w:trPr>
        <w:tc>
          <w:tcPr>
            <w:tcW w:w="756" w:type="dxa"/>
            <w:tcBorders>
              <w:top w:val="nil"/>
              <w:left w:val="single" w:sz="4" w:space="0" w:color="auto"/>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12</w:t>
            </w:r>
          </w:p>
        </w:tc>
        <w:tc>
          <w:tcPr>
            <w:tcW w:w="124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红花</w:t>
            </w:r>
          </w:p>
        </w:tc>
        <w:tc>
          <w:tcPr>
            <w:tcW w:w="166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广西华芝堂中药有限公司</w:t>
            </w:r>
          </w:p>
        </w:tc>
        <w:tc>
          <w:tcPr>
            <w:tcW w:w="184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广西华芝堂中药有限公司</w:t>
            </w:r>
          </w:p>
        </w:tc>
        <w:tc>
          <w:tcPr>
            <w:tcW w:w="108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140601</w:t>
            </w:r>
          </w:p>
        </w:tc>
        <w:tc>
          <w:tcPr>
            <w:tcW w:w="108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w:t>
            </w:r>
          </w:p>
        </w:tc>
        <w:tc>
          <w:tcPr>
            <w:tcW w:w="190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《中国药典》2010年版第一增补本及《国家局药品检验补充检验方法和检验项目批准件》2013006</w:t>
            </w:r>
          </w:p>
        </w:tc>
        <w:tc>
          <w:tcPr>
            <w:tcW w:w="1610"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不符合规定</w:t>
            </w:r>
          </w:p>
        </w:tc>
        <w:tc>
          <w:tcPr>
            <w:tcW w:w="1701"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[检查]酸不溶性灰分</w:t>
            </w:r>
          </w:p>
        </w:tc>
        <w:tc>
          <w:tcPr>
            <w:tcW w:w="2065" w:type="dxa"/>
            <w:tcBorders>
              <w:top w:val="nil"/>
              <w:left w:val="nil"/>
              <w:bottom w:val="single" w:sz="4" w:space="0" w:color="auto"/>
              <w:right w:val="single" w:sz="4" w:space="0" w:color="auto"/>
            </w:tcBorders>
            <w:shd w:val="clear" w:color="000000" w:fill="FFFFFF"/>
            <w:vAlign w:val="center"/>
          </w:tcPr>
          <w:p w:rsidR="00617856" w:rsidRPr="00A6112C" w:rsidRDefault="00617856" w:rsidP="00927601">
            <w:pPr>
              <w:widowControl/>
              <w:jc w:val="center"/>
              <w:rPr>
                <w:rFonts w:ascii="宋体" w:hAnsi="宋体" w:cs="宋体"/>
                <w:color w:val="000000"/>
                <w:kern w:val="0"/>
                <w:sz w:val="18"/>
                <w:szCs w:val="18"/>
              </w:rPr>
            </w:pPr>
            <w:r w:rsidRPr="00A6112C">
              <w:rPr>
                <w:rFonts w:ascii="宋体" w:hAnsi="宋体" w:cs="宋体" w:hint="eastAsia"/>
                <w:color w:val="000000"/>
                <w:kern w:val="0"/>
                <w:sz w:val="18"/>
                <w:szCs w:val="18"/>
              </w:rPr>
              <w:t>北海食品药品检验所</w:t>
            </w:r>
          </w:p>
        </w:tc>
      </w:tr>
    </w:tbl>
    <w:p w:rsidR="00685100" w:rsidRDefault="00617856"/>
    <w:sectPr w:rsidR="00685100" w:rsidSect="00617856">
      <w:pgSz w:w="16838" w:h="11906" w:orient="landscape"/>
      <w:pgMar w:top="1531" w:right="2041" w:bottom="1531" w:left="2041"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856"/>
    <w:rsid w:val="001030A8"/>
    <w:rsid w:val="00617856"/>
    <w:rsid w:val="00921944"/>
    <w:rsid w:val="00AC331D"/>
    <w:rsid w:val="00B319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785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785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186</Words>
  <Characters>1065</Characters>
  <Application>Microsoft Office Word</Application>
  <DocSecurity>0</DocSecurity>
  <Lines>8</Lines>
  <Paragraphs>2</Paragraphs>
  <ScaleCrop>false</ScaleCrop>
  <Company>china</Company>
  <LinksUpToDate>false</LinksUpToDate>
  <CharactersWithSpaces>1249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林冰玲</dc:creator>
  <cp:lastModifiedBy>林冰玲</cp:lastModifiedBy>
  <cp:revision>1</cp:revision>
  <dcterms:created xsi:type="dcterms:W3CDTF">2017-02-16T09:17:00Z</dcterms:created>
  <dcterms:modified xsi:type="dcterms:W3CDTF">2017-02-16T09:18:00Z</dcterms:modified>
</cp:coreProperties>
</file>