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szCs w:val="32"/>
        </w:rPr>
      </w:pPr>
      <w:r>
        <w:rPr>
          <w:rFonts w:hint="eastAsia"/>
          <w:szCs w:val="32"/>
        </w:rPr>
        <w:t>附件</w:t>
      </w:r>
    </w:p>
    <w:p>
      <w:pPr>
        <w:spacing w:line="600" w:lineRule="exact"/>
        <w:jc w:val="center"/>
        <w:rPr>
          <w:sz w:val="2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8批次不符合规定药品信息</w:t>
      </w:r>
    </w:p>
    <w:bookmarkEnd w:id="0"/>
    <w:tbl>
      <w:tblPr>
        <w:tblStyle w:val="3"/>
        <w:tblW w:w="1439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3"/>
        <w:gridCol w:w="979"/>
        <w:gridCol w:w="1020"/>
        <w:gridCol w:w="1590"/>
        <w:gridCol w:w="1320"/>
        <w:gridCol w:w="1215"/>
        <w:gridCol w:w="1410"/>
        <w:gridCol w:w="855"/>
        <w:gridCol w:w="1305"/>
        <w:gridCol w:w="1500"/>
        <w:gridCol w:w="1530"/>
        <w:gridCol w:w="11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药品品名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检品来源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标示生产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生产批号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检验机构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检验依据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检验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不符合规定项目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报告书编号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检验结果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b/>
                <w:color w:val="00000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炙甘草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哈尔滨人民同泰医药连锁店新友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eastAsia="zh-CN"/>
              </w:rPr>
              <w:t>分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店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河北荷花池药业有限公司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C4891904001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哈尔滨市药品检验所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【含量测定】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A19110339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甘草苷：0.40%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炙淫羊藿（饮片）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哈尔滨市道外区三棵树中药材市场东区4号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河北全泰药业</w:t>
            </w:r>
          </w:p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1811001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哈尔滨市药品检验所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【性状】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A19110077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部分具标准规定的性状特征；部分不具标准规定的性状特征（此部分为非药用部位枝梗，约占总量的5%）。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非标示企业生产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金樱子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巴彦县洼兴镇中心卫生院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河北全泰药业</w:t>
            </w:r>
          </w:p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1812001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哈尔滨市药品检验所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【性状】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A19110243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 xml:space="preserve">具标准规定的性状特征，部分有虫蛀孔和虫卵，此部分占总量的10%。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非标示企业生产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1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醋乳香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哈尔滨友好风湿病医院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亳州广源堂中药饮片有限公司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171201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哈尔滨市药品检验所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【性状】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A19220340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 xml:space="preserve">具标准规定的性状特征，部分不具有标准规定的性状特性（此部分为树皮，约占总量的11%）。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炒山桃仁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甘南县赵显荣内科诊所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内蒙古启明中药饮片有限公司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17091202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齐齐哈尔市食品药品检验检测中心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【性状】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QQ2020C0037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具炒山桃仁性状特征，部分已虫蛀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非标示企业生产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4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火麻仁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甘南县赵显荣内科诊所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河北全泰药业</w:t>
            </w:r>
          </w:p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1811001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齐齐哈尔市食品药品检验检测中心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【性状】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QQ2020C0039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具火麻仁性状特征，部分已虫蛀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当地局回函：企业认为抽检的火麻仁样品“部分虫蛀”不是生产环节造成的。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山楂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密山市密山镇蒙汉药店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亳州市圣海中药饮片有限公司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181001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鸡西市食品药品检验检测中心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【性状】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JX2019C0575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具山楂的性状特征，约30%已虫蛀。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非标示企业生产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复方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丹参片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佳木斯市春天医药连锁有限责任公司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广东省罗浮山</w:t>
            </w:r>
          </w:p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白鹤制药厂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1811010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佳木斯市食品药品检验检测中心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【含量测定】（丹参 丹参酮ⅡA）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eastAsia="仿宋"/>
                <w:color w:val="00000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JM2019C0071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left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</w:tbl>
    <w:p>
      <w:pPr>
        <w:spacing w:line="400" w:lineRule="exact"/>
        <w:rPr>
          <w:sz w:val="28"/>
        </w:rPr>
      </w:pPr>
    </w:p>
    <w:p/>
    <w:sectPr>
      <w:pgSz w:w="16838" w:h="11906" w:orient="landscape"/>
      <w:pgMar w:top="1797" w:right="1440" w:bottom="1797" w:left="1440" w:header="851" w:footer="992" w:gutter="0"/>
      <w:pgNumType w:fmt="numberInDash"/>
      <w:cols w:space="720" w:num="1"/>
      <w:docGrid w:type="linesAndChars" w:linePitch="639" w:charSpace="-49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FF147F"/>
    <w:rsid w:val="03FF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2020-09-21T07:05:00Z</dcterms:created>
  <dc:creator>Administrator</dc:creator>
  <cp:lastModifiedBy>Administrator</cp:lastModifiedBy>
  <dcterms:modified xsi:type="dcterms:W3CDTF">2020-09-21T07:05:57Z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