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F04" w:rsidRDefault="00A41F04" w:rsidP="00A41F04">
      <w:pPr>
        <w:jc w:val="center"/>
        <w:rPr>
          <w:rFonts w:ascii="仿宋" w:eastAsia="仿宋" w:hAnsi="仿宋"/>
          <w:b/>
          <w:sz w:val="44"/>
          <w:szCs w:val="44"/>
        </w:rPr>
      </w:pPr>
      <w:proofErr w:type="gramStart"/>
      <w:r w:rsidRPr="00A41F04">
        <w:rPr>
          <w:rFonts w:ascii="仿宋" w:eastAsia="仿宋" w:hAnsi="仿宋" w:hint="eastAsia"/>
          <w:b/>
          <w:sz w:val="44"/>
          <w:szCs w:val="44"/>
        </w:rPr>
        <w:t>《</w:t>
      </w:r>
      <w:proofErr w:type="gramEnd"/>
      <w:r w:rsidRPr="00A41F04">
        <w:rPr>
          <w:rFonts w:ascii="仿宋" w:eastAsia="仿宋" w:hAnsi="仿宋" w:hint="eastAsia"/>
          <w:b/>
          <w:sz w:val="44"/>
          <w:szCs w:val="44"/>
        </w:rPr>
        <w:t>化妆品生产经营监督管理办法</w:t>
      </w:r>
    </w:p>
    <w:p w:rsidR="00A41F04" w:rsidRDefault="00A41F04" w:rsidP="00A41F04">
      <w:pPr>
        <w:jc w:val="center"/>
        <w:rPr>
          <w:rFonts w:ascii="仿宋" w:eastAsia="仿宋" w:hAnsi="仿宋"/>
          <w:b/>
          <w:sz w:val="44"/>
          <w:szCs w:val="44"/>
        </w:rPr>
      </w:pPr>
      <w:r w:rsidRPr="00A41F04">
        <w:rPr>
          <w:rFonts w:ascii="仿宋" w:eastAsia="仿宋" w:hAnsi="仿宋" w:hint="eastAsia"/>
          <w:b/>
          <w:sz w:val="44"/>
          <w:szCs w:val="44"/>
        </w:rPr>
        <w:t>（征求意见稿）</w:t>
      </w:r>
      <w:proofErr w:type="gramStart"/>
      <w:r w:rsidRPr="00A41F04">
        <w:rPr>
          <w:rFonts w:ascii="仿宋" w:eastAsia="仿宋" w:hAnsi="仿宋" w:hint="eastAsia"/>
          <w:b/>
          <w:sz w:val="44"/>
          <w:szCs w:val="44"/>
        </w:rPr>
        <w:t>》</w:t>
      </w:r>
      <w:proofErr w:type="gramEnd"/>
      <w:r w:rsidRPr="00A41F04">
        <w:rPr>
          <w:rFonts w:ascii="仿宋" w:eastAsia="仿宋" w:hAnsi="仿宋" w:hint="eastAsia"/>
          <w:b/>
          <w:sz w:val="44"/>
          <w:szCs w:val="44"/>
        </w:rPr>
        <w:t>起草说明</w:t>
      </w:r>
    </w:p>
    <w:p w:rsidR="00A41F04" w:rsidRPr="00A41F04" w:rsidRDefault="00A41F04" w:rsidP="00A41F04">
      <w:pPr>
        <w:jc w:val="center"/>
        <w:rPr>
          <w:rFonts w:ascii="仿宋" w:eastAsia="仿宋" w:hAnsi="仿宋"/>
          <w:b/>
          <w:sz w:val="44"/>
          <w:szCs w:val="44"/>
        </w:rPr>
      </w:pPr>
    </w:p>
    <w:p w:rsidR="00A41F04" w:rsidRPr="00A41F04" w:rsidRDefault="00A41F04" w:rsidP="00A41F04">
      <w:pPr>
        <w:ind w:firstLineChars="200" w:firstLine="640"/>
        <w:rPr>
          <w:rFonts w:ascii="仿宋" w:eastAsia="仿宋" w:hAnsi="仿宋"/>
          <w:sz w:val="32"/>
          <w:szCs w:val="32"/>
        </w:rPr>
      </w:pPr>
      <w:r w:rsidRPr="00A41F04">
        <w:rPr>
          <w:rFonts w:ascii="仿宋" w:eastAsia="仿宋" w:hAnsi="仿宋" w:hint="eastAsia"/>
          <w:sz w:val="32"/>
          <w:szCs w:val="32"/>
        </w:rPr>
        <w:t>为贯彻落实新颁布的《化妆品监督管理条例》（以下简称“新条例”），规范化妆品生产经营活动，加强化妆品上市后监督管理，国家药监局研究起草了《化妆品生产经营监督管理办法</w:t>
      </w:r>
      <w:r w:rsidR="00BD004B" w:rsidRPr="00A41F04">
        <w:rPr>
          <w:rFonts w:ascii="仿宋" w:eastAsia="仿宋" w:hAnsi="仿宋" w:hint="eastAsia"/>
          <w:sz w:val="32"/>
          <w:szCs w:val="32"/>
        </w:rPr>
        <w:t>（征求意见稿）</w:t>
      </w:r>
      <w:r w:rsidRPr="00A41F04">
        <w:rPr>
          <w:rFonts w:ascii="仿宋" w:eastAsia="仿宋" w:hAnsi="仿宋" w:hint="eastAsia"/>
          <w:sz w:val="32"/>
          <w:szCs w:val="32"/>
        </w:rPr>
        <w:t>》</w:t>
      </w:r>
      <w:r w:rsidR="00BD004B" w:rsidRPr="00A41F04">
        <w:rPr>
          <w:rFonts w:ascii="仿宋" w:eastAsia="仿宋" w:hAnsi="仿宋" w:hint="eastAsia"/>
          <w:sz w:val="32"/>
          <w:szCs w:val="32"/>
        </w:rPr>
        <w:t>（以下简称《办法》）</w:t>
      </w:r>
      <w:r w:rsidRPr="00A41F04">
        <w:rPr>
          <w:rFonts w:ascii="仿宋" w:eastAsia="仿宋" w:hAnsi="仿宋" w:hint="eastAsia"/>
          <w:sz w:val="32"/>
          <w:szCs w:val="32"/>
        </w:rPr>
        <w:t>，拟以市场监管总局部门规章形式审议发布。有关起草情况如下：</w:t>
      </w:r>
    </w:p>
    <w:p w:rsidR="00A41F04" w:rsidRPr="008736AE" w:rsidRDefault="00A41F04" w:rsidP="008736AE">
      <w:pPr>
        <w:ind w:firstLineChars="200" w:firstLine="643"/>
        <w:rPr>
          <w:rFonts w:ascii="仿宋" w:eastAsia="仿宋" w:hAnsi="仿宋"/>
          <w:b/>
          <w:sz w:val="32"/>
          <w:szCs w:val="32"/>
        </w:rPr>
      </w:pPr>
      <w:r w:rsidRPr="008736AE">
        <w:rPr>
          <w:rFonts w:ascii="仿宋" w:eastAsia="仿宋" w:hAnsi="仿宋" w:hint="eastAsia"/>
          <w:b/>
          <w:sz w:val="32"/>
          <w:szCs w:val="32"/>
        </w:rPr>
        <w:t>一、起草背景与过程</w:t>
      </w:r>
    </w:p>
    <w:p w:rsidR="00A41F04" w:rsidRPr="00A41F04" w:rsidRDefault="00A41F04" w:rsidP="00A41F04">
      <w:pPr>
        <w:ind w:firstLineChars="200" w:firstLine="640"/>
        <w:rPr>
          <w:rFonts w:ascii="仿宋" w:eastAsia="仿宋" w:hAnsi="仿宋"/>
          <w:sz w:val="32"/>
          <w:szCs w:val="32"/>
        </w:rPr>
      </w:pPr>
      <w:r w:rsidRPr="00A41F04">
        <w:rPr>
          <w:rFonts w:ascii="仿宋" w:eastAsia="仿宋" w:hAnsi="仿宋" w:hint="eastAsia"/>
          <w:sz w:val="32"/>
          <w:szCs w:val="32"/>
        </w:rPr>
        <w:t>原《化妆品卫生监督条例》已颁布实施30年，监管制度、监管手段、法律责任相对匮乏，与当前化妆品产业现状和监管形势严重脱节。新条例作为行政法规，从宏观大局的角度，对化妆品生产、经营环节的监管做出了规定。在法规之下，国家药监局研究起草了</w:t>
      </w:r>
      <w:r w:rsidR="00BD004B">
        <w:rPr>
          <w:rFonts w:ascii="仿宋" w:eastAsia="仿宋" w:hAnsi="仿宋" w:hint="eastAsia"/>
          <w:sz w:val="32"/>
          <w:szCs w:val="32"/>
        </w:rPr>
        <w:t>《办法》</w:t>
      </w:r>
      <w:r w:rsidRPr="00A41F04">
        <w:rPr>
          <w:rFonts w:ascii="仿宋" w:eastAsia="仿宋" w:hAnsi="仿宋" w:hint="eastAsia"/>
          <w:sz w:val="32"/>
          <w:szCs w:val="32"/>
        </w:rPr>
        <w:t>，对新条例中化妆品生产、经营监管的各项要求及其法律责任</w:t>
      </w:r>
      <w:proofErr w:type="gramStart"/>
      <w:r w:rsidRPr="00A41F04">
        <w:rPr>
          <w:rFonts w:ascii="仿宋" w:eastAsia="仿宋" w:hAnsi="仿宋" w:hint="eastAsia"/>
          <w:sz w:val="32"/>
          <w:szCs w:val="32"/>
        </w:rPr>
        <w:t>作出</w:t>
      </w:r>
      <w:proofErr w:type="gramEnd"/>
      <w:r w:rsidRPr="00A41F04">
        <w:rPr>
          <w:rFonts w:ascii="仿宋" w:eastAsia="仿宋" w:hAnsi="仿宋" w:hint="eastAsia"/>
          <w:sz w:val="32"/>
          <w:szCs w:val="32"/>
        </w:rPr>
        <w:t>规定，对生产许可管理、生产质量管理、经营质量管理、网络经营管理、监督管理的具体手段等进一步细化，将成为今后化妆品上市后监管的重要法律依据，指导化妆品生产经营者的行为，规范各级监管部门在化妆品领域的执法行为。</w:t>
      </w:r>
    </w:p>
    <w:p w:rsidR="00A41F04" w:rsidRPr="00A41F04" w:rsidRDefault="00A41F04" w:rsidP="00A41F04">
      <w:pPr>
        <w:ind w:firstLineChars="200" w:firstLine="640"/>
        <w:rPr>
          <w:rFonts w:ascii="仿宋" w:eastAsia="仿宋" w:hAnsi="仿宋"/>
          <w:sz w:val="32"/>
          <w:szCs w:val="32"/>
        </w:rPr>
      </w:pPr>
      <w:r w:rsidRPr="00A41F04">
        <w:rPr>
          <w:rFonts w:ascii="仿宋" w:eastAsia="仿宋" w:hAnsi="仿宋" w:hint="eastAsia"/>
          <w:sz w:val="32"/>
          <w:szCs w:val="32"/>
        </w:rPr>
        <w:t>国家药监局于2018年10月成立化妆品监管司，着力加强化妆品监管工作。在前期课题研究和调研的基础上，结合</w:t>
      </w:r>
      <w:r w:rsidRPr="00A41F04">
        <w:rPr>
          <w:rFonts w:ascii="仿宋" w:eastAsia="仿宋" w:hAnsi="仿宋" w:hint="eastAsia"/>
          <w:sz w:val="32"/>
          <w:szCs w:val="32"/>
        </w:rPr>
        <w:lastRenderedPageBreak/>
        <w:t>新条例制定进展，国家药监局研究起草《办法》初稿，并多次广泛征求基层监管部门、行业协会、化妆品生产经营者、电商平台企业、业内专家的意见，进行多次修改和完善，形成目前的《办法》</w:t>
      </w:r>
      <w:bookmarkStart w:id="0" w:name="_GoBack"/>
      <w:bookmarkEnd w:id="0"/>
      <w:r w:rsidRPr="00A41F04">
        <w:rPr>
          <w:rFonts w:ascii="仿宋" w:eastAsia="仿宋" w:hAnsi="仿宋" w:hint="eastAsia"/>
          <w:sz w:val="32"/>
          <w:szCs w:val="32"/>
        </w:rPr>
        <w:t>。</w:t>
      </w:r>
    </w:p>
    <w:p w:rsidR="00A41F04" w:rsidRPr="008736AE" w:rsidRDefault="00A41F04" w:rsidP="008736AE">
      <w:pPr>
        <w:ind w:firstLineChars="200" w:firstLine="643"/>
        <w:rPr>
          <w:rFonts w:ascii="仿宋" w:eastAsia="仿宋" w:hAnsi="仿宋"/>
          <w:b/>
          <w:sz w:val="32"/>
          <w:szCs w:val="32"/>
        </w:rPr>
      </w:pPr>
      <w:r w:rsidRPr="008736AE">
        <w:rPr>
          <w:rFonts w:ascii="仿宋" w:eastAsia="仿宋" w:hAnsi="仿宋" w:hint="eastAsia"/>
          <w:b/>
          <w:sz w:val="32"/>
          <w:szCs w:val="32"/>
        </w:rPr>
        <w:t>二、主要内容</w:t>
      </w:r>
    </w:p>
    <w:p w:rsidR="00A41F04" w:rsidRPr="00A41F04" w:rsidRDefault="00A41F04" w:rsidP="00A41F04">
      <w:pPr>
        <w:ind w:firstLineChars="200" w:firstLine="640"/>
        <w:rPr>
          <w:rFonts w:ascii="仿宋" w:eastAsia="仿宋" w:hAnsi="仿宋"/>
          <w:sz w:val="32"/>
          <w:szCs w:val="32"/>
        </w:rPr>
      </w:pPr>
      <w:r w:rsidRPr="00A41F04">
        <w:rPr>
          <w:rFonts w:ascii="仿宋" w:eastAsia="仿宋" w:hAnsi="仿宋" w:hint="eastAsia"/>
          <w:sz w:val="32"/>
          <w:szCs w:val="32"/>
        </w:rPr>
        <w:t>《办法》分为“总则、生产许可管理、生产质量管理、经营质量管理、网络经营管理、监督管理、法律责任、附则”八个部分，共100条。主要包括以下内容：</w:t>
      </w:r>
    </w:p>
    <w:p w:rsidR="00A41F04" w:rsidRPr="00A41F04" w:rsidRDefault="00A41F04" w:rsidP="00A41F04">
      <w:pPr>
        <w:ind w:firstLineChars="200" w:firstLine="640"/>
        <w:rPr>
          <w:rFonts w:ascii="仿宋" w:eastAsia="仿宋" w:hAnsi="仿宋"/>
          <w:sz w:val="32"/>
          <w:szCs w:val="32"/>
        </w:rPr>
      </w:pPr>
      <w:r w:rsidRPr="00A41F04">
        <w:rPr>
          <w:rFonts w:ascii="仿宋" w:eastAsia="仿宋" w:hAnsi="仿宋" w:hint="eastAsia"/>
          <w:sz w:val="32"/>
          <w:szCs w:val="32"/>
        </w:rPr>
        <w:t>第一章，总则。主要规定《办法》立法目的、适用范围、职责分工、基本制度、信息公开、社会共治等。</w:t>
      </w:r>
    </w:p>
    <w:p w:rsidR="00A41F04" w:rsidRPr="00A41F04" w:rsidRDefault="00A41F04" w:rsidP="00A41F04">
      <w:pPr>
        <w:ind w:firstLineChars="200" w:firstLine="640"/>
        <w:rPr>
          <w:rFonts w:ascii="仿宋" w:eastAsia="仿宋" w:hAnsi="仿宋"/>
          <w:sz w:val="32"/>
          <w:szCs w:val="32"/>
        </w:rPr>
      </w:pPr>
      <w:r w:rsidRPr="00A41F04">
        <w:rPr>
          <w:rFonts w:ascii="仿宋" w:eastAsia="仿宋" w:hAnsi="仿宋" w:hint="eastAsia"/>
          <w:sz w:val="32"/>
          <w:szCs w:val="32"/>
        </w:rPr>
        <w:t>第二章，生产许可管理。主要规定生产许可制度、申请许可资料、许可审查、许可变更、许可延续、许可注销等。</w:t>
      </w:r>
    </w:p>
    <w:p w:rsidR="00A41F04" w:rsidRPr="00A41F04" w:rsidRDefault="00A41F04" w:rsidP="00A41F04">
      <w:pPr>
        <w:ind w:firstLineChars="200" w:firstLine="640"/>
        <w:rPr>
          <w:rFonts w:ascii="仿宋" w:eastAsia="仿宋" w:hAnsi="仿宋"/>
          <w:sz w:val="32"/>
          <w:szCs w:val="32"/>
        </w:rPr>
      </w:pPr>
      <w:r w:rsidRPr="00A41F04">
        <w:rPr>
          <w:rFonts w:ascii="仿宋" w:eastAsia="仿宋" w:hAnsi="仿宋" w:hint="eastAsia"/>
          <w:sz w:val="32"/>
          <w:szCs w:val="32"/>
        </w:rPr>
        <w:t>第三章，生产质量管理。主要规定生产质量管理规范、质量管理制度、质量安全负责人、从业人员健康管理、委托生产管理、记录保存、贮存运输、企业自查停产整改、不良反应监测、产品召回等。</w:t>
      </w:r>
    </w:p>
    <w:p w:rsidR="00A41F04" w:rsidRPr="00A41F04" w:rsidRDefault="00A41F04" w:rsidP="00A41F04">
      <w:pPr>
        <w:ind w:firstLineChars="200" w:firstLine="640"/>
        <w:rPr>
          <w:rFonts w:ascii="仿宋" w:eastAsia="仿宋" w:hAnsi="仿宋"/>
          <w:sz w:val="32"/>
          <w:szCs w:val="32"/>
        </w:rPr>
      </w:pPr>
      <w:r w:rsidRPr="00A41F04">
        <w:rPr>
          <w:rFonts w:ascii="仿宋" w:eastAsia="仿宋" w:hAnsi="仿宋" w:hint="eastAsia"/>
          <w:sz w:val="32"/>
          <w:szCs w:val="32"/>
        </w:rPr>
        <w:t>第四章，经营质量管理。主要规定经营质量管理制度、进货查验记录制度、销售记录、记录保存、贮存运输、不良反应报告、禁止自行配制、协助产品召回、美容美发宾馆管理、集中交易市场管理等。</w:t>
      </w:r>
    </w:p>
    <w:p w:rsidR="00A41F04" w:rsidRPr="00A41F04" w:rsidRDefault="00A41F04" w:rsidP="00A41F04">
      <w:pPr>
        <w:ind w:firstLineChars="200" w:firstLine="640"/>
        <w:rPr>
          <w:rFonts w:ascii="仿宋" w:eastAsia="仿宋" w:hAnsi="仿宋"/>
          <w:sz w:val="32"/>
          <w:szCs w:val="32"/>
        </w:rPr>
      </w:pPr>
      <w:r w:rsidRPr="00A41F04">
        <w:rPr>
          <w:rFonts w:ascii="仿宋" w:eastAsia="仿宋" w:hAnsi="仿宋" w:hint="eastAsia"/>
          <w:sz w:val="32"/>
          <w:szCs w:val="32"/>
        </w:rPr>
        <w:t>第五章，网络经营管理。主要规定网络经营者定义、网络经营者责任、资质信息展示、化妆品信息展示，电商平台</w:t>
      </w:r>
      <w:r w:rsidRPr="00A41F04">
        <w:rPr>
          <w:rFonts w:ascii="仿宋" w:eastAsia="仿宋" w:hAnsi="仿宋" w:hint="eastAsia"/>
          <w:sz w:val="32"/>
          <w:szCs w:val="32"/>
        </w:rPr>
        <w:lastRenderedPageBreak/>
        <w:t>登记、审查、管理制度、记录保存、停止提供平台服务等。</w:t>
      </w:r>
    </w:p>
    <w:p w:rsidR="00A41F04" w:rsidRPr="00A41F04" w:rsidRDefault="00A41F04" w:rsidP="00A41F04">
      <w:pPr>
        <w:ind w:firstLineChars="200" w:firstLine="640"/>
        <w:rPr>
          <w:rFonts w:ascii="仿宋" w:eastAsia="仿宋" w:hAnsi="仿宋"/>
          <w:sz w:val="32"/>
          <w:szCs w:val="32"/>
        </w:rPr>
      </w:pPr>
      <w:r w:rsidRPr="00A41F04">
        <w:rPr>
          <w:rFonts w:ascii="仿宋" w:eastAsia="仿宋" w:hAnsi="仿宋" w:hint="eastAsia"/>
          <w:sz w:val="32"/>
          <w:szCs w:val="32"/>
        </w:rPr>
        <w:t>第六章，监督管理。主要规定监督检查、抽查检验、补充检验、不良反应监测、风险监测和评价、风险控制措施、责任约谈、信用管理、公布禁业人员名单等。</w:t>
      </w:r>
    </w:p>
    <w:p w:rsidR="00A41F04" w:rsidRPr="00A41F04" w:rsidRDefault="00A41F04" w:rsidP="00A41F04">
      <w:pPr>
        <w:ind w:firstLineChars="200" w:firstLine="640"/>
        <w:rPr>
          <w:rFonts w:ascii="仿宋" w:eastAsia="仿宋" w:hAnsi="仿宋"/>
          <w:sz w:val="32"/>
          <w:szCs w:val="32"/>
        </w:rPr>
      </w:pPr>
      <w:r w:rsidRPr="00A41F04">
        <w:rPr>
          <w:rFonts w:ascii="仿宋" w:eastAsia="仿宋" w:hAnsi="仿宋" w:hint="eastAsia"/>
          <w:sz w:val="32"/>
          <w:szCs w:val="32"/>
        </w:rPr>
        <w:t>第七章，法律责任。主要规定特别严重违法行为、严重违法行为、较严重违法行为、一般违法行为、轻微违法行为，集中交易市场、网络销售者、电商平台违法责任等。</w:t>
      </w:r>
    </w:p>
    <w:p w:rsidR="00A41F04" w:rsidRPr="00A41F04" w:rsidRDefault="00A41F04" w:rsidP="00A41F04">
      <w:pPr>
        <w:ind w:firstLineChars="200" w:firstLine="640"/>
        <w:rPr>
          <w:rFonts w:ascii="仿宋" w:eastAsia="仿宋" w:hAnsi="仿宋"/>
          <w:sz w:val="32"/>
          <w:szCs w:val="32"/>
        </w:rPr>
      </w:pPr>
      <w:r w:rsidRPr="00A41F04">
        <w:rPr>
          <w:rFonts w:ascii="仿宋" w:eastAsia="仿宋" w:hAnsi="仿宋" w:hint="eastAsia"/>
          <w:sz w:val="32"/>
          <w:szCs w:val="32"/>
        </w:rPr>
        <w:t>第八章，附则。主要规定生产许可分类、生产许可证格式、实施细则制定、实施时间等。</w:t>
      </w:r>
    </w:p>
    <w:p w:rsidR="00A41F04" w:rsidRPr="008736AE" w:rsidRDefault="00A41F04" w:rsidP="008736AE">
      <w:pPr>
        <w:ind w:firstLineChars="200" w:firstLine="643"/>
        <w:rPr>
          <w:rFonts w:ascii="仿宋" w:eastAsia="仿宋" w:hAnsi="仿宋"/>
          <w:b/>
          <w:sz w:val="32"/>
          <w:szCs w:val="32"/>
        </w:rPr>
      </w:pPr>
      <w:r w:rsidRPr="008736AE">
        <w:rPr>
          <w:rFonts w:ascii="仿宋" w:eastAsia="仿宋" w:hAnsi="仿宋" w:hint="eastAsia"/>
          <w:b/>
          <w:sz w:val="32"/>
          <w:szCs w:val="32"/>
        </w:rPr>
        <w:t>三、全面落实新条例各项规定</w:t>
      </w:r>
    </w:p>
    <w:p w:rsidR="00A41F04" w:rsidRPr="00A41F04" w:rsidRDefault="00A41F04" w:rsidP="00A41F04">
      <w:pPr>
        <w:ind w:firstLineChars="200" w:firstLine="640"/>
        <w:rPr>
          <w:rFonts w:ascii="仿宋" w:eastAsia="仿宋" w:hAnsi="仿宋"/>
          <w:sz w:val="32"/>
          <w:szCs w:val="32"/>
        </w:rPr>
      </w:pPr>
      <w:r w:rsidRPr="00A41F04">
        <w:rPr>
          <w:rFonts w:ascii="仿宋" w:eastAsia="仿宋" w:hAnsi="仿宋" w:hint="eastAsia"/>
          <w:sz w:val="32"/>
          <w:szCs w:val="32"/>
        </w:rPr>
        <w:t>《办法》主要从监管制度、重点环节、监管手段、法律责任四个方面全面落实新条例关于化妆品生产经营监管的各项规定：</w:t>
      </w:r>
    </w:p>
    <w:p w:rsidR="00A41F04" w:rsidRPr="00A41F04" w:rsidRDefault="00A41F04" w:rsidP="00A41F04">
      <w:pPr>
        <w:ind w:firstLineChars="200" w:firstLine="640"/>
        <w:rPr>
          <w:rFonts w:ascii="仿宋" w:eastAsia="仿宋" w:hAnsi="仿宋"/>
          <w:sz w:val="32"/>
          <w:szCs w:val="32"/>
        </w:rPr>
      </w:pPr>
      <w:r w:rsidRPr="00A41F04">
        <w:rPr>
          <w:rFonts w:ascii="仿宋" w:eastAsia="仿宋" w:hAnsi="仿宋" w:hint="eastAsia"/>
          <w:sz w:val="32"/>
          <w:szCs w:val="32"/>
        </w:rPr>
        <w:t>（一）细化基本监管制度。在继承原有生产许可制度的基础上，对新条例确立的化妆品注册人备案</w:t>
      </w:r>
      <w:proofErr w:type="gramStart"/>
      <w:r w:rsidRPr="00A41F04">
        <w:rPr>
          <w:rFonts w:ascii="仿宋" w:eastAsia="仿宋" w:hAnsi="仿宋" w:hint="eastAsia"/>
          <w:sz w:val="32"/>
          <w:szCs w:val="32"/>
        </w:rPr>
        <w:t>人制</w:t>
      </w:r>
      <w:proofErr w:type="gramEnd"/>
      <w:r w:rsidRPr="00A41F04">
        <w:rPr>
          <w:rFonts w:ascii="仿宋" w:eastAsia="仿宋" w:hAnsi="仿宋" w:hint="eastAsia"/>
          <w:sz w:val="32"/>
          <w:szCs w:val="32"/>
        </w:rPr>
        <w:t>度、境内责任人制度、委托生产制度、产品召回制度、自查停产报告制度、网络经营监管制度、集中交易化妆品监管制度、美容美发等使用化妆品监管制度、不良反应监测制度、风险监测和评价制度等基本监管制度，《办法》均</w:t>
      </w:r>
      <w:proofErr w:type="gramStart"/>
      <w:r w:rsidRPr="00A41F04">
        <w:rPr>
          <w:rFonts w:ascii="仿宋" w:eastAsia="仿宋" w:hAnsi="仿宋" w:hint="eastAsia"/>
          <w:sz w:val="32"/>
          <w:szCs w:val="32"/>
        </w:rPr>
        <w:t>作出</w:t>
      </w:r>
      <w:proofErr w:type="gramEnd"/>
      <w:r w:rsidRPr="00A41F04">
        <w:rPr>
          <w:rFonts w:ascii="仿宋" w:eastAsia="仿宋" w:hAnsi="仿宋" w:hint="eastAsia"/>
          <w:sz w:val="32"/>
          <w:szCs w:val="32"/>
        </w:rPr>
        <w:t>细化规定。</w:t>
      </w:r>
    </w:p>
    <w:p w:rsidR="00A41F04" w:rsidRPr="00A41F04" w:rsidRDefault="00A41F04" w:rsidP="00A41F04">
      <w:pPr>
        <w:ind w:firstLineChars="200" w:firstLine="640"/>
        <w:rPr>
          <w:rFonts w:ascii="仿宋" w:eastAsia="仿宋" w:hAnsi="仿宋"/>
          <w:sz w:val="32"/>
          <w:szCs w:val="32"/>
        </w:rPr>
      </w:pPr>
      <w:r w:rsidRPr="00A41F04">
        <w:rPr>
          <w:rFonts w:ascii="仿宋" w:eastAsia="仿宋" w:hAnsi="仿宋" w:hint="eastAsia"/>
          <w:sz w:val="32"/>
          <w:szCs w:val="32"/>
        </w:rPr>
        <w:t>（二）加强重点环节监管。对日常监管中的重点环节，对应新条例要求进一步细化。对于委托生产，规定化妆品注册人、备案人作为委托方，对产品质量安全负责，受托生产企业应当对生产活动负责。对于网络经营，分别规定了平台经营者和化妆品网络销售者的经营义务及监管要求。对于集中交易市场等，规定了化妆品集中交易市场开办者、展销会举办者的管理义务，以及入场经营者的审查登记、定期检查等要求。对于美容美发机构等，规定了美容美发机构、宾馆等的进货查验记录义务，并禁止虚假宣称产品功效。</w:t>
      </w:r>
    </w:p>
    <w:p w:rsidR="00A41F04" w:rsidRPr="00A41F04" w:rsidRDefault="00A41F04" w:rsidP="00A41F04">
      <w:pPr>
        <w:ind w:firstLineChars="200" w:firstLine="640"/>
        <w:rPr>
          <w:rFonts w:ascii="仿宋" w:eastAsia="仿宋" w:hAnsi="仿宋"/>
          <w:sz w:val="32"/>
          <w:szCs w:val="32"/>
        </w:rPr>
      </w:pPr>
      <w:r w:rsidRPr="00A41F04">
        <w:rPr>
          <w:rFonts w:ascii="仿宋" w:eastAsia="仿宋" w:hAnsi="仿宋" w:hint="eastAsia"/>
          <w:sz w:val="32"/>
          <w:szCs w:val="32"/>
        </w:rPr>
        <w:t>（三）明确监管手段。在强化原有的监督检查、抽样检验监管手段的基础上，对新条例新增的补充检验、紧急控制措施、责任约谈、信用管理等监管手段，《办法》在监督管理章节中均</w:t>
      </w:r>
      <w:proofErr w:type="gramStart"/>
      <w:r w:rsidRPr="00A41F04">
        <w:rPr>
          <w:rFonts w:ascii="仿宋" w:eastAsia="仿宋" w:hAnsi="仿宋" w:hint="eastAsia"/>
          <w:sz w:val="32"/>
          <w:szCs w:val="32"/>
        </w:rPr>
        <w:t>作出</w:t>
      </w:r>
      <w:proofErr w:type="gramEnd"/>
      <w:r w:rsidRPr="00A41F04">
        <w:rPr>
          <w:rFonts w:ascii="仿宋" w:eastAsia="仿宋" w:hAnsi="仿宋" w:hint="eastAsia"/>
          <w:sz w:val="32"/>
          <w:szCs w:val="32"/>
        </w:rPr>
        <w:t>了明确规定。</w:t>
      </w:r>
    </w:p>
    <w:p w:rsidR="00A41F04" w:rsidRPr="00A41F04" w:rsidRDefault="00A41F04" w:rsidP="00A41F04">
      <w:pPr>
        <w:ind w:firstLineChars="200" w:firstLine="640"/>
        <w:rPr>
          <w:rFonts w:ascii="仿宋" w:eastAsia="仿宋" w:hAnsi="仿宋"/>
          <w:sz w:val="32"/>
          <w:szCs w:val="32"/>
        </w:rPr>
      </w:pPr>
      <w:r w:rsidRPr="00A41F04">
        <w:rPr>
          <w:rFonts w:ascii="仿宋" w:eastAsia="仿宋" w:hAnsi="仿宋" w:hint="eastAsia"/>
          <w:sz w:val="32"/>
          <w:szCs w:val="32"/>
        </w:rPr>
        <w:t>（四）厘清法律责任。在明确规定化妆品生产经营者义务的基础上，具体厘清细化了生产经营者所应承担的法律责任。细化新条例规定的违法情形，在执法实践中有较为统一的执法尺度。对违法情形作全覆盖规定，对一些轻微违法行为增设小额罚款。《办法》还规定了国家药监局定期公布禁止从业人员名单，把对违法生产经营者的处罚落实到位。</w:t>
      </w:r>
    </w:p>
    <w:p w:rsidR="00636D5E" w:rsidRPr="00A41F04" w:rsidRDefault="00636D5E"/>
    <w:sectPr w:rsidR="00636D5E" w:rsidRPr="00A41F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456" w:rsidRDefault="00A14456" w:rsidP="00A41F04">
      <w:r>
        <w:separator/>
      </w:r>
    </w:p>
  </w:endnote>
  <w:endnote w:type="continuationSeparator" w:id="0">
    <w:p w:rsidR="00A14456" w:rsidRDefault="00A14456" w:rsidP="00A4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456" w:rsidRDefault="00A14456" w:rsidP="00A41F04">
      <w:r>
        <w:separator/>
      </w:r>
    </w:p>
  </w:footnote>
  <w:footnote w:type="continuationSeparator" w:id="0">
    <w:p w:rsidR="00A14456" w:rsidRDefault="00A14456" w:rsidP="00A41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2F1"/>
    <w:rsid w:val="003B12F1"/>
    <w:rsid w:val="00636D5E"/>
    <w:rsid w:val="00831585"/>
    <w:rsid w:val="008736AE"/>
    <w:rsid w:val="00A14456"/>
    <w:rsid w:val="00A41F04"/>
    <w:rsid w:val="00BD0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1F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1F04"/>
    <w:rPr>
      <w:sz w:val="18"/>
      <w:szCs w:val="18"/>
    </w:rPr>
  </w:style>
  <w:style w:type="paragraph" w:styleId="a4">
    <w:name w:val="footer"/>
    <w:basedOn w:val="a"/>
    <w:link w:val="Char0"/>
    <w:uiPriority w:val="99"/>
    <w:unhideWhenUsed/>
    <w:rsid w:val="00A41F04"/>
    <w:pPr>
      <w:tabs>
        <w:tab w:val="center" w:pos="4153"/>
        <w:tab w:val="right" w:pos="8306"/>
      </w:tabs>
      <w:snapToGrid w:val="0"/>
      <w:jc w:val="left"/>
    </w:pPr>
    <w:rPr>
      <w:sz w:val="18"/>
      <w:szCs w:val="18"/>
    </w:rPr>
  </w:style>
  <w:style w:type="character" w:customStyle="1" w:styleId="Char0">
    <w:name w:val="页脚 Char"/>
    <w:basedOn w:val="a0"/>
    <w:link w:val="a4"/>
    <w:uiPriority w:val="99"/>
    <w:rsid w:val="00A41F04"/>
    <w:rPr>
      <w:sz w:val="18"/>
      <w:szCs w:val="18"/>
    </w:rPr>
  </w:style>
  <w:style w:type="paragraph" w:styleId="a5">
    <w:name w:val="Balloon Text"/>
    <w:basedOn w:val="a"/>
    <w:link w:val="Char1"/>
    <w:uiPriority w:val="99"/>
    <w:semiHidden/>
    <w:unhideWhenUsed/>
    <w:rsid w:val="00A14456"/>
    <w:rPr>
      <w:sz w:val="18"/>
      <w:szCs w:val="18"/>
    </w:rPr>
  </w:style>
  <w:style w:type="character" w:customStyle="1" w:styleId="Char1">
    <w:name w:val="批注框文本 Char"/>
    <w:basedOn w:val="a0"/>
    <w:link w:val="a5"/>
    <w:uiPriority w:val="99"/>
    <w:semiHidden/>
    <w:rsid w:val="00A144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1F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1F04"/>
    <w:rPr>
      <w:sz w:val="18"/>
      <w:szCs w:val="18"/>
    </w:rPr>
  </w:style>
  <w:style w:type="paragraph" w:styleId="a4">
    <w:name w:val="footer"/>
    <w:basedOn w:val="a"/>
    <w:link w:val="Char0"/>
    <w:uiPriority w:val="99"/>
    <w:unhideWhenUsed/>
    <w:rsid w:val="00A41F04"/>
    <w:pPr>
      <w:tabs>
        <w:tab w:val="center" w:pos="4153"/>
        <w:tab w:val="right" w:pos="8306"/>
      </w:tabs>
      <w:snapToGrid w:val="0"/>
      <w:jc w:val="left"/>
    </w:pPr>
    <w:rPr>
      <w:sz w:val="18"/>
      <w:szCs w:val="18"/>
    </w:rPr>
  </w:style>
  <w:style w:type="character" w:customStyle="1" w:styleId="Char0">
    <w:name w:val="页脚 Char"/>
    <w:basedOn w:val="a0"/>
    <w:link w:val="a4"/>
    <w:uiPriority w:val="99"/>
    <w:rsid w:val="00A41F04"/>
    <w:rPr>
      <w:sz w:val="18"/>
      <w:szCs w:val="18"/>
    </w:rPr>
  </w:style>
  <w:style w:type="paragraph" w:styleId="a5">
    <w:name w:val="Balloon Text"/>
    <w:basedOn w:val="a"/>
    <w:link w:val="Char1"/>
    <w:uiPriority w:val="99"/>
    <w:semiHidden/>
    <w:unhideWhenUsed/>
    <w:rsid w:val="00A14456"/>
    <w:rPr>
      <w:sz w:val="18"/>
      <w:szCs w:val="18"/>
    </w:rPr>
  </w:style>
  <w:style w:type="character" w:customStyle="1" w:styleId="Char1">
    <w:name w:val="批注框文本 Char"/>
    <w:basedOn w:val="a0"/>
    <w:link w:val="a5"/>
    <w:uiPriority w:val="99"/>
    <w:semiHidden/>
    <w:rsid w:val="00A144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view01</dc:creator>
  <cp:keywords/>
  <dc:description/>
  <cp:lastModifiedBy>view01</cp:lastModifiedBy>
  <cp:revision>5</cp:revision>
  <cp:lastPrinted>2020-07-17T07:49:00Z</cp:lastPrinted>
  <dcterms:created xsi:type="dcterms:W3CDTF">2020-07-17T07:15:00Z</dcterms:created>
  <dcterms:modified xsi:type="dcterms:W3CDTF">2020-07-17T08:03:00Z</dcterms:modified>
</cp:coreProperties>
</file>