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260" w:lineRule="auto"/>
        <w:ind w:firstLine="0" w:firstLineChars="0"/>
        <w:jc w:val="center"/>
        <w:rPr>
          <w:rFonts w:ascii="方正小标宋简体" w:hAnsi="黑体" w:eastAsia="方正小标宋简体"/>
        </w:rPr>
      </w:pPr>
      <w:r>
        <w:rPr>
          <w:rFonts w:hint="eastAsia" w:ascii="方正小标宋简体" w:hAnsi="黑体" w:eastAsia="方正小标宋简体"/>
          <w:sz w:val="44"/>
          <w:szCs w:val="44"/>
        </w:rPr>
        <w:t>化妆品安全评估技术导则</w:t>
      </w:r>
    </w:p>
    <w:p>
      <w:pPr>
        <w:spacing w:line="260" w:lineRule="auto"/>
        <w:ind w:firstLine="0" w:firstLineChars="0"/>
        <w:jc w:val="center"/>
        <w:rPr>
          <w:rFonts w:ascii="方正小标宋简体" w:hAnsi="黑体" w:eastAsia="方正小标宋简体"/>
          <w:sz w:val="32"/>
          <w:szCs w:val="32"/>
        </w:rPr>
      </w:pPr>
      <w:r>
        <w:rPr>
          <w:rFonts w:hint="eastAsia" w:ascii="楷体_GB2312" w:hAnsi="黑体" w:eastAsia="楷体_GB2312"/>
          <w:sz w:val="32"/>
          <w:szCs w:val="32"/>
        </w:rPr>
        <w:t>（征求意见稿）</w:t>
      </w:r>
    </w:p>
    <w:p>
      <w:pPr>
        <w:ind w:firstLine="560"/>
      </w:pPr>
      <w:r>
        <w:rPr>
          <w:rFonts w:hint="eastAsia"/>
        </w:rPr>
        <w:t>为保障化妆品使用安全，规范化妆品安全评估，指导开展相关工作，制定本导则。</w:t>
      </w:r>
    </w:p>
    <w:p>
      <w:pPr>
        <w:pStyle w:val="2"/>
        <w:spacing w:before="156" w:after="156"/>
        <w:ind w:firstLine="600"/>
      </w:pPr>
      <w:bookmarkStart w:id="0" w:name="_Toc46753153"/>
      <w:r>
        <w:rPr>
          <w:rFonts w:hint="eastAsia"/>
        </w:rPr>
        <w:t>1.适用范围</w:t>
      </w:r>
      <w:bookmarkEnd w:id="0"/>
    </w:p>
    <w:p>
      <w:pPr>
        <w:ind w:firstLine="560"/>
      </w:pPr>
      <w:r>
        <w:rPr>
          <w:rFonts w:hint="eastAsia"/>
        </w:rPr>
        <w:t xml:space="preserve">本导则适用于化妆品原料和产品的安全评估。 </w:t>
      </w:r>
    </w:p>
    <w:p>
      <w:pPr>
        <w:pStyle w:val="2"/>
        <w:spacing w:before="156" w:after="156"/>
        <w:ind w:firstLine="600"/>
      </w:pPr>
      <w:bookmarkStart w:id="1" w:name="_Toc46753154"/>
      <w:r>
        <w:rPr>
          <w:rFonts w:hint="eastAsia"/>
        </w:rPr>
        <w:t>2.基本原则与要求</w:t>
      </w:r>
      <w:bookmarkEnd w:id="1"/>
    </w:p>
    <w:p>
      <w:pPr>
        <w:ind w:firstLine="560"/>
      </w:pPr>
      <w:r>
        <w:rPr>
          <w:rFonts w:hint="eastAsia"/>
        </w:rPr>
        <w:t>2.1原料的安全性是化妆品产品安全的前提条件。化妆品原料的风险评估包括原料本身及可能带入的风险物质；化妆品产品一般可认为是各种原料的组合，应基于所有原料和风险物质进行评估，如果确认某些原料之间存在化学和/或生物学等相互作用的，应该对其产生的风险物质进行评估。</w:t>
      </w:r>
    </w:p>
    <w:p>
      <w:pPr>
        <w:ind w:firstLine="560"/>
      </w:pPr>
      <w:r>
        <w:rPr>
          <w:rFonts w:hint="eastAsia"/>
        </w:rPr>
        <w:t>2.2化妆品安全评估应以现有科学数据和相关信息为基础，遵循科学、公正、透明和个案分析的原则，在实施过程中应保证安全评估工作的独立性。</w:t>
      </w:r>
    </w:p>
    <w:p>
      <w:pPr>
        <w:ind w:firstLine="560"/>
      </w:pPr>
      <w:r>
        <w:t>2.3 化妆品安全</w:t>
      </w:r>
      <w:r>
        <w:rPr>
          <w:rFonts w:hint="eastAsia"/>
        </w:rPr>
        <w:t>评估引用的参考资料应为全文形式公开发表的技术报告、通告、专业书籍或学术论文，以及国际权威机构发布的数据或风险评估资料等；应用未公开发表的研究结果时，需经数据所有权方授权，并分析结果的科学性、准确性和可靠性等。</w:t>
      </w:r>
    </w:p>
    <w:p>
      <w:pPr>
        <w:ind w:firstLine="560"/>
      </w:pPr>
      <w:r>
        <w:rPr>
          <w:rFonts w:hint="eastAsia"/>
        </w:rPr>
        <w:t>2.4化妆品的安全评估工作由具有相应能力的安全评估人员按照本导则的要求进行评估，并出具评估报告。</w:t>
      </w:r>
    </w:p>
    <w:p>
      <w:pPr>
        <w:ind w:firstLine="560"/>
      </w:pPr>
      <w:r>
        <w:rPr>
          <w:rFonts w:hint="eastAsia"/>
        </w:rPr>
        <w:t>2.5 化妆品注册人、备案人应自行或委托专业机构开展安全评估。</w:t>
      </w:r>
    </w:p>
    <w:p>
      <w:pPr>
        <w:ind w:firstLine="560"/>
      </w:pPr>
      <w:r>
        <w:rPr>
          <w:rFonts w:hint="eastAsia"/>
        </w:rPr>
        <w:t>2.6化妆品的安全评估资料根据需要应当及时更新，保存期限不少于最后一批上市产品保质期结束以后10年。</w:t>
      </w:r>
    </w:p>
    <w:p>
      <w:pPr>
        <w:ind w:firstLine="560"/>
      </w:pPr>
      <w:r>
        <w:rPr>
          <w:rFonts w:hint="eastAsia"/>
        </w:rPr>
        <w:t>2.7化妆品安全评估报告结论不足以排除产品对人体健康存在风险的，应当采用毒理学试验方法进行产品安全性评价。</w:t>
      </w:r>
    </w:p>
    <w:p>
      <w:pPr>
        <w:ind w:firstLine="560"/>
      </w:pPr>
      <w:r>
        <w:rPr>
          <w:rFonts w:hint="eastAsia"/>
        </w:rPr>
        <w:t>2.8化妆品安全评估人员开展安全评估时，以本导则作为参考依据，</w:t>
      </w:r>
      <w:r>
        <w:t>还应根据原料和产品的</w:t>
      </w:r>
      <w:r>
        <w:rPr>
          <w:rFonts w:hint="eastAsia"/>
        </w:rPr>
        <w:t>具体情况</w:t>
      </w:r>
      <w:r>
        <w:t>进行分析。</w:t>
      </w:r>
    </w:p>
    <w:p>
      <w:pPr>
        <w:ind w:firstLine="560"/>
      </w:pPr>
      <w:r>
        <w:rPr>
          <w:rFonts w:hint="eastAsia"/>
        </w:rPr>
        <w:t>2.9评估人员的简历应附在评估报告之后，简历内容应包括评估人员的教育经历、化妆品相关从业经历、专业培训经历等。</w:t>
      </w:r>
    </w:p>
    <w:p>
      <w:pPr>
        <w:pStyle w:val="2"/>
        <w:spacing w:before="156" w:after="156"/>
        <w:ind w:firstLine="600"/>
      </w:pPr>
      <w:bookmarkStart w:id="2" w:name="OLE_LINK6"/>
      <w:bookmarkStart w:id="3" w:name="OLE_LINK5"/>
      <w:bookmarkStart w:id="4" w:name="_Toc46753155"/>
      <w:r>
        <w:rPr>
          <w:rFonts w:hint="eastAsia"/>
        </w:rPr>
        <w:t>3</w:t>
      </w:r>
      <w:r>
        <w:t>.化妆品安全评估</w:t>
      </w:r>
      <w:r>
        <w:rPr>
          <w:rFonts w:hint="eastAsia"/>
        </w:rPr>
        <w:t>人员的要求</w:t>
      </w:r>
      <w:bookmarkEnd w:id="2"/>
      <w:bookmarkEnd w:id="3"/>
      <w:bookmarkEnd w:id="4"/>
    </w:p>
    <w:p>
      <w:pPr>
        <w:ind w:firstLine="560"/>
      </w:pPr>
      <w:r>
        <w:rPr>
          <w:rFonts w:hint="eastAsia"/>
        </w:rPr>
        <w:t>化妆品安全评估人员应符合以下要求：</w:t>
      </w:r>
    </w:p>
    <w:p>
      <w:pPr>
        <w:ind w:firstLine="560"/>
      </w:pPr>
      <w:r>
        <w:rPr>
          <w:rFonts w:hint="eastAsia"/>
        </w:rPr>
        <w:t>3.1具有医学、药学、化学或毒理学等化妆品质量安全相关专业知识，了解化妆品生产过程和质量安全控制要求，并具有5年以上相关专业从业经历。</w:t>
      </w:r>
    </w:p>
    <w:p>
      <w:pPr>
        <w:ind w:firstLine="560"/>
      </w:pPr>
      <w:r>
        <w:rPr>
          <w:rFonts w:hint="eastAsia"/>
        </w:rPr>
        <w:t>3.2能够查阅和分</w:t>
      </w:r>
      <w:r>
        <w:rPr>
          <w:rStyle w:val="25"/>
          <w:rFonts w:hint="eastAsia" w:ascii="Times New Roman" w:hAnsi="Times New Roman"/>
          <w:color w:val="auto"/>
          <w:szCs w:val="28"/>
          <w:u w:val="none"/>
        </w:rPr>
        <w:t>析化学、毒理学等相关文献信息，分析、</w:t>
      </w:r>
      <w:r>
        <w:rPr>
          <w:rStyle w:val="25"/>
          <w:rFonts w:hint="eastAsia" w:ascii="Times New Roman" w:hAnsi="Times New Roman" w:cs="仿宋_GB2312"/>
          <w:color w:val="auto"/>
          <w:szCs w:val="28"/>
          <w:u w:val="none"/>
        </w:rPr>
        <w:t>评估</w:t>
      </w:r>
      <w:r>
        <w:rPr>
          <w:rFonts w:hint="eastAsia"/>
        </w:rPr>
        <w:t>和解释相关数据。</w:t>
      </w:r>
    </w:p>
    <w:p>
      <w:pPr>
        <w:ind w:firstLine="560"/>
      </w:pPr>
      <w:r>
        <w:rPr>
          <w:rFonts w:hint="eastAsia"/>
        </w:rPr>
        <w:t>3.3能够公平、客观的分析化妆品的安全性，在全面分析所有可获得的数据和暴露条件的基础上，开展安全评估工作。</w:t>
      </w:r>
    </w:p>
    <w:p>
      <w:pPr>
        <w:ind w:firstLine="560"/>
      </w:pPr>
      <w:r>
        <w:rPr>
          <w:rFonts w:hint="eastAsia"/>
        </w:rPr>
        <w:t>3.4能定期接受相应的专业培训，学习安全评估的相关知识，了解和掌握新的安全评估理论、技术和方法，并用于实践。</w:t>
      </w:r>
    </w:p>
    <w:p>
      <w:pPr>
        <w:pStyle w:val="2"/>
        <w:spacing w:before="156" w:after="156"/>
        <w:ind w:firstLine="600"/>
      </w:pPr>
      <w:bookmarkStart w:id="5" w:name="_Toc46753156"/>
      <w:r>
        <w:rPr>
          <w:rFonts w:hint="eastAsia"/>
        </w:rPr>
        <w:t>4.风险评估程序</w:t>
      </w:r>
      <w:bookmarkEnd w:id="5"/>
    </w:p>
    <w:p>
      <w:pPr>
        <w:ind w:firstLine="560"/>
      </w:pPr>
      <w:r>
        <w:rPr>
          <w:rFonts w:hint="eastAsia"/>
        </w:rPr>
        <w:t>化妆品原料和风险物质的风险评估程序分为以下四个步骤：</w:t>
      </w:r>
    </w:p>
    <w:p>
      <w:pPr>
        <w:pStyle w:val="3"/>
        <w:ind w:firstLine="562"/>
      </w:pPr>
      <w:r>
        <w:rPr>
          <w:rFonts w:hint="eastAsia"/>
        </w:rPr>
        <w:t>4.1危害识别</w:t>
      </w:r>
    </w:p>
    <w:p>
      <w:pPr>
        <w:ind w:firstLine="560"/>
      </w:pPr>
      <w:r>
        <w:rPr>
          <w:rFonts w:hint="eastAsia"/>
        </w:rPr>
        <w:t>基于毒理学试验、临床研究、不良反应监测和人群流行病学研究等的结果，从原料和风险物质的物理、化学和毒理学特征来确定其是否对人体健康存在潜在危害。</w:t>
      </w:r>
    </w:p>
    <w:p>
      <w:pPr>
        <w:ind w:firstLine="560"/>
      </w:pPr>
      <w:r>
        <w:rPr>
          <w:rFonts w:hint="eastAsia"/>
        </w:rPr>
        <w:t>4.1.1健康危害效应</w:t>
      </w:r>
    </w:p>
    <w:p>
      <w:pPr>
        <w:ind w:firstLine="560"/>
      </w:pPr>
      <w:r>
        <w:rPr>
          <w:rFonts w:hint="eastAsia"/>
        </w:rPr>
        <w:t>根据产品的使用方法、暴露途径等，确认原料和风险物质可能存在的健康危害效应，主要包括：</w:t>
      </w:r>
    </w:p>
    <w:p>
      <w:pPr>
        <w:ind w:firstLine="560"/>
      </w:pPr>
      <w:r>
        <w:t>(1)</w:t>
      </w:r>
      <w:r>
        <w:rPr>
          <w:rFonts w:hint="eastAsia"/>
        </w:rPr>
        <w:t>急性毒性：包括经口和经皮后产生的急性毒性效应。</w:t>
      </w:r>
    </w:p>
    <w:p>
      <w:pPr>
        <w:ind w:firstLine="560"/>
      </w:pPr>
      <w:r>
        <w:t>(2)</w:t>
      </w:r>
      <w:r>
        <w:rPr>
          <w:rFonts w:hint="eastAsia"/>
        </w:rPr>
        <w:t>刺激性/腐蚀性：包括皮肤和眼刺激性/腐蚀性效应。</w:t>
      </w:r>
    </w:p>
    <w:p>
      <w:pPr>
        <w:ind w:firstLine="560"/>
      </w:pPr>
      <w:r>
        <w:t>(3)</w:t>
      </w:r>
      <w:r>
        <w:rPr>
          <w:rFonts w:hint="eastAsia"/>
        </w:rPr>
        <w:t>致敏性：主要为皮肤致敏性。</w:t>
      </w:r>
    </w:p>
    <w:p>
      <w:pPr>
        <w:ind w:firstLine="560"/>
      </w:pPr>
      <w:r>
        <w:t>(4)</w:t>
      </w:r>
      <w:r>
        <w:rPr>
          <w:rFonts w:hint="eastAsia"/>
        </w:rPr>
        <w:t>光毒性：紫外线照射后产生的光刺激性。</w:t>
      </w:r>
    </w:p>
    <w:p>
      <w:pPr>
        <w:ind w:firstLine="560"/>
      </w:pPr>
      <w:r>
        <w:rPr>
          <w:rFonts w:hint="eastAsia"/>
        </w:rPr>
        <w:t>(5)光变态反应：重复接触并在紫外线照射下引起的皮肤反应。</w:t>
      </w:r>
    </w:p>
    <w:p>
      <w:pPr>
        <w:ind w:firstLine="560"/>
      </w:pPr>
      <w:r>
        <w:t>(</w:t>
      </w:r>
      <w:r>
        <w:rPr>
          <w:rFonts w:hint="eastAsia"/>
        </w:rPr>
        <w:t>6</w:t>
      </w:r>
      <w:r>
        <w:t>)</w:t>
      </w:r>
      <w:r>
        <w:rPr>
          <w:rFonts w:hint="eastAsia"/>
        </w:rPr>
        <w:t>致突变性：包括基因突变和染色体畸变效应等。</w:t>
      </w:r>
    </w:p>
    <w:p>
      <w:pPr>
        <w:ind w:firstLine="560"/>
      </w:pPr>
      <w:r>
        <w:t>(</w:t>
      </w:r>
      <w:r>
        <w:rPr>
          <w:rFonts w:hint="eastAsia"/>
        </w:rPr>
        <w:t>7</w:t>
      </w:r>
      <w:r>
        <w:t>)</w:t>
      </w:r>
      <w:r>
        <w:rPr>
          <w:rFonts w:hint="eastAsia"/>
        </w:rPr>
        <w:t>重复剂量毒性：连续暴露后对组织和靶器官所产生的功能性和</w:t>
      </w:r>
      <w:r>
        <w:t>/或器质性改变。</w:t>
      </w:r>
    </w:p>
    <w:p>
      <w:pPr>
        <w:ind w:firstLine="560"/>
      </w:pPr>
      <w:r>
        <w:t>(</w:t>
      </w:r>
      <w:r>
        <w:rPr>
          <w:rFonts w:hint="eastAsia"/>
        </w:rPr>
        <w:t>8</w:t>
      </w:r>
      <w:r>
        <w:t>)</w:t>
      </w:r>
      <w:r>
        <w:rPr>
          <w:rFonts w:hint="eastAsia"/>
        </w:rPr>
        <w:t>致畸性：在胚胎发育期引起胎仔永久性结构和功能异常的作用。</w:t>
      </w:r>
    </w:p>
    <w:p>
      <w:pPr>
        <w:ind w:firstLine="560"/>
      </w:pPr>
      <w:r>
        <w:rPr>
          <w:rFonts w:hint="eastAsia"/>
        </w:rPr>
        <w:t>(9)生殖和发育毒性：对亲代的生殖功能及对子代发育过程的有害作用。</w:t>
      </w:r>
    </w:p>
    <w:p>
      <w:pPr>
        <w:ind w:firstLine="560"/>
      </w:pPr>
      <w:r>
        <w:t>(</w:t>
      </w:r>
      <w:r>
        <w:rPr>
          <w:rFonts w:hint="eastAsia"/>
        </w:rPr>
        <w:t>10</w:t>
      </w:r>
      <w:r>
        <w:t>)</w:t>
      </w:r>
      <w:r>
        <w:rPr>
          <w:rFonts w:hint="eastAsia"/>
        </w:rPr>
        <w:t>慢性毒性</w:t>
      </w:r>
      <w:r>
        <w:t>/</w:t>
      </w:r>
      <w:r>
        <w:rPr>
          <w:rFonts w:hint="eastAsia"/>
        </w:rPr>
        <w:t>致癌性：正常生命周期大部分时间暴露后所产生的毒性效应及引起肿瘤的可能性。</w:t>
      </w:r>
    </w:p>
    <w:p>
      <w:pPr>
        <w:ind w:firstLine="560"/>
      </w:pPr>
      <w:r>
        <w:rPr>
          <w:rFonts w:hint="eastAsia"/>
        </w:rPr>
        <w:t xml:space="preserve"> (11)其他：有吸入暴露可能时，需考虑吸入暴露引起的健康危害效应。</w:t>
      </w:r>
    </w:p>
    <w:p>
      <w:pPr>
        <w:ind w:firstLine="560"/>
      </w:pPr>
      <w:r>
        <w:rPr>
          <w:rFonts w:hint="eastAsia"/>
        </w:rPr>
        <w:t>4.1.2 危害识别</w:t>
      </w:r>
    </w:p>
    <w:p>
      <w:pPr>
        <w:ind w:firstLine="560"/>
      </w:pPr>
      <w:r>
        <w:rPr>
          <w:rFonts w:hint="eastAsia"/>
        </w:rPr>
        <w:t>(1)按照我国现行的《化妆品安全技术规范》（以下简称《规范》）或国际上通用的毒理学试验结果的判定原则对化妆品原料和风险物质的急性毒性、皮肤刺激性</w:t>
      </w:r>
      <w:r>
        <w:t>/腐蚀性、眼刺激性/腐蚀性、致敏性、光毒性、</w:t>
      </w:r>
      <w:r>
        <w:rPr>
          <w:rFonts w:hint="eastAsia"/>
        </w:rPr>
        <w:t>光变态反应、</w:t>
      </w:r>
      <w:r>
        <w:t>致突变性、</w:t>
      </w:r>
      <w:r>
        <w:rPr>
          <w:rFonts w:hint="eastAsia"/>
        </w:rPr>
        <w:t>重复剂量毒性</w:t>
      </w:r>
      <w:r>
        <w:t>、</w:t>
      </w:r>
      <w:r>
        <w:rPr>
          <w:rFonts w:hint="eastAsia"/>
        </w:rPr>
        <w:t>致畸性、</w:t>
      </w:r>
      <w:r>
        <w:t>生殖和发育毒性、</w:t>
      </w:r>
      <w:r>
        <w:rPr>
          <w:rFonts w:hint="eastAsia"/>
        </w:rPr>
        <w:t>慢性毒性</w:t>
      </w:r>
      <w:r>
        <w:t>/致癌性等毒性</w:t>
      </w:r>
      <w:r>
        <w:rPr>
          <w:rFonts w:hint="eastAsia"/>
        </w:rPr>
        <w:t>特征进行判定，确定原料和风险物质的主要毒性特征及程度。</w:t>
      </w:r>
    </w:p>
    <w:p>
      <w:pPr>
        <w:ind w:firstLine="560"/>
      </w:pPr>
      <w:r>
        <w:rPr>
          <w:rFonts w:hint="eastAsia"/>
        </w:rPr>
        <w:t>(2)根据所提供的化妆品原料和风险物质的人群流行病学调查、人群监测以及临床不良事件报告等相关资料，判定该原料和风险物质可能对人体产生的健康危害效应。</w:t>
      </w:r>
    </w:p>
    <w:p>
      <w:pPr>
        <w:ind w:firstLine="560"/>
      </w:pPr>
      <w:r>
        <w:rPr>
          <w:rFonts w:hint="eastAsia"/>
        </w:rPr>
        <w:t>(3)在对危害识别进行判定时，还应考虑到原料的纯度和稳定性、其可能与终产品中其它组分发生的反应以及透皮吸收的能力等，同时还应考虑到原料和生产过程中不可避免带入的风险物质的健康危害效应等。</w:t>
      </w:r>
    </w:p>
    <w:p>
      <w:pPr>
        <w:ind w:firstLine="560"/>
      </w:pPr>
      <w:r>
        <w:rPr>
          <w:rFonts w:hint="eastAsia"/>
        </w:rPr>
        <w:t>(4)对可能有吸入暴露风险的产品，如喷雾产品，应评估其吸入暴露对人体可能产生的健康危害效应。</w:t>
      </w:r>
    </w:p>
    <w:p>
      <w:pPr>
        <w:ind w:firstLine="560"/>
      </w:pPr>
      <w:r>
        <w:t>(5)对于复配原料，</w:t>
      </w:r>
      <w:r>
        <w:rPr>
          <w:rFonts w:hint="eastAsia"/>
        </w:rPr>
        <w:t>应对原料本身和</w:t>
      </w:r>
      <w:r>
        <w:t>/</w:t>
      </w:r>
      <w:r>
        <w:rPr>
          <w:rFonts w:hint="eastAsia"/>
        </w:rPr>
        <w:t>或每种组分的危害效应进行识别。</w:t>
      </w:r>
    </w:p>
    <w:p>
      <w:pPr>
        <w:pStyle w:val="3"/>
        <w:ind w:firstLine="562"/>
      </w:pPr>
      <w:r>
        <w:t>4.2剂量反应关系评估</w:t>
      </w:r>
    </w:p>
    <w:p>
      <w:pPr>
        <w:ind w:firstLine="560"/>
      </w:pPr>
      <w:r>
        <w:rPr>
          <w:rFonts w:hint="eastAsia"/>
        </w:rPr>
        <w:t>用于确定原料和风险物质的毒性反应与暴露剂量之间的关系。对有阈值效应的原料和风险物质，需获得未观察到有害作用的剂量（N</w:t>
      </w:r>
      <w:r>
        <w:t xml:space="preserve">o </w:t>
      </w:r>
      <w:r>
        <w:rPr>
          <w:rFonts w:hint="eastAsia"/>
        </w:rPr>
        <w:t>O</w:t>
      </w:r>
      <w:r>
        <w:t xml:space="preserve">bserved </w:t>
      </w:r>
      <w:r>
        <w:rPr>
          <w:rFonts w:hint="eastAsia"/>
        </w:rPr>
        <w:t>A</w:t>
      </w:r>
      <w:r>
        <w:t xml:space="preserve">dverse </w:t>
      </w:r>
      <w:r>
        <w:rPr>
          <w:rFonts w:hint="eastAsia"/>
        </w:rPr>
        <w:t>E</w:t>
      </w:r>
      <w:r>
        <w:t xml:space="preserve">ffect </w:t>
      </w:r>
      <w:r>
        <w:rPr>
          <w:rFonts w:hint="eastAsia"/>
        </w:rPr>
        <w:t>L</w:t>
      </w:r>
      <w:r>
        <w:t>evel</w:t>
      </w:r>
      <w:r>
        <w:rPr>
          <w:rFonts w:hint="eastAsia"/>
        </w:rPr>
        <w:t>，</w:t>
      </w:r>
      <w:r>
        <w:t xml:space="preserve">NOAEL），如果不能得到NOAEL的，则采用其观察到有害作用的最低剂量（Lowest </w:t>
      </w:r>
      <w:r>
        <w:rPr>
          <w:rFonts w:hint="eastAsia"/>
        </w:rPr>
        <w:t>O</w:t>
      </w:r>
      <w:r>
        <w:t xml:space="preserve">bserved </w:t>
      </w:r>
      <w:r>
        <w:rPr>
          <w:rFonts w:hint="eastAsia"/>
        </w:rPr>
        <w:t>A</w:t>
      </w:r>
      <w:r>
        <w:t xml:space="preserve">dverse </w:t>
      </w:r>
      <w:r>
        <w:rPr>
          <w:rFonts w:hint="eastAsia"/>
        </w:rPr>
        <w:t>E</w:t>
      </w:r>
      <w:r>
        <w:t xml:space="preserve">ffect </w:t>
      </w:r>
      <w:r>
        <w:rPr>
          <w:rFonts w:hint="eastAsia"/>
        </w:rPr>
        <w:t>L</w:t>
      </w:r>
      <w:r>
        <w:t>evel</w:t>
      </w:r>
      <w:r>
        <w:rPr>
          <w:rFonts w:hint="eastAsia"/>
        </w:rPr>
        <w:t>，</w:t>
      </w:r>
      <w:r>
        <w:t>LOAEL）。但用LOAEL值计算</w:t>
      </w:r>
      <w:r>
        <w:rPr>
          <w:rFonts w:hint="eastAsia"/>
        </w:rPr>
        <w:t>安全边际值（</w:t>
      </w:r>
      <w:r>
        <w:t>Margin of Safety</w:t>
      </w:r>
      <w:r>
        <w:rPr>
          <w:rFonts w:hint="eastAsia"/>
        </w:rPr>
        <w:t>，</w:t>
      </w:r>
      <w:r>
        <w:t>MoS</w:t>
      </w:r>
      <w:r>
        <w:rPr>
          <w:rFonts w:hint="eastAsia"/>
        </w:rPr>
        <w:t>）</w:t>
      </w:r>
      <w:r>
        <w:t>时，应增加</w:t>
      </w:r>
      <w:bookmarkStart w:id="6" w:name="OLE_LINK1"/>
      <w:r>
        <w:t>相应的</w:t>
      </w:r>
      <w:bookmarkEnd w:id="6"/>
      <w:r>
        <w:t>不确定</w:t>
      </w:r>
      <w:r>
        <w:rPr>
          <w:rFonts w:hint="eastAsia"/>
        </w:rPr>
        <w:t>因子</w:t>
      </w:r>
      <w:r>
        <w:t>（一般为3倍）</w:t>
      </w:r>
      <w:r>
        <w:rPr>
          <w:rFonts w:hint="eastAsia"/>
        </w:rPr>
        <w:t>。对于无阈值的致癌物而言，用剂量描述参数</w:t>
      </w:r>
      <w:r>
        <w:t>T25</w:t>
      </w:r>
      <w:r>
        <w:rPr>
          <w:rFonts w:hint="eastAsia"/>
        </w:rPr>
        <w:t>等来确定。对于具有潜在致敏风险的原料和风险物质，还需通过预期无诱导致敏剂量（</w:t>
      </w:r>
      <w:r>
        <w:t>No Expected Sensitization Induction Level</w:t>
      </w:r>
      <w:r>
        <w:rPr>
          <w:rFonts w:hint="eastAsia"/>
        </w:rPr>
        <w:t>，</w:t>
      </w:r>
      <w:r>
        <w:t>NESIL）来评估</w:t>
      </w:r>
      <w:r>
        <w:rPr>
          <w:rFonts w:hint="eastAsia"/>
        </w:rPr>
        <w:t>其致敏性</w:t>
      </w:r>
      <w:r>
        <w:t>。</w:t>
      </w:r>
    </w:p>
    <w:p>
      <w:pPr>
        <w:ind w:firstLine="560"/>
      </w:pPr>
      <w:r>
        <w:rPr>
          <w:rFonts w:hint="eastAsia"/>
        </w:rPr>
        <w:t>4.2.1有阈值原料的剂量反应关系评估，需确定原料的NOAEL值。</w:t>
      </w:r>
    </w:p>
    <w:p>
      <w:pPr>
        <w:ind w:firstLine="560"/>
      </w:pPr>
      <w:r>
        <w:rPr>
          <w:rFonts w:hint="eastAsia"/>
        </w:rPr>
        <w:t>当选择NOAEL计算安全系数时，应选择来自重复剂量毒性试验的数据，如</w:t>
      </w:r>
      <w:r>
        <w:t>90天</w:t>
      </w:r>
      <w:r>
        <w:rPr>
          <w:rFonts w:hint="eastAsia"/>
        </w:rPr>
        <w:t>经口毒性试验、慢性毒性/致癌试验、致畸试验、生殖和发育毒性试验等，还应该考虑该值获得的试验条件与被评估物质使用条件和品种敏感度的相关性。如果选择</w:t>
      </w:r>
      <w:r>
        <w:t>28天</w:t>
      </w:r>
      <w:r>
        <w:rPr>
          <w:rFonts w:hint="eastAsia"/>
        </w:rPr>
        <w:t>经口毒性试验数据时，应增加相应的不确定因子（一般为</w:t>
      </w:r>
      <w:r>
        <w:t>3</w:t>
      </w:r>
      <w:r>
        <w:rPr>
          <w:rFonts w:hint="eastAsia"/>
        </w:rPr>
        <w:t>倍）。</w:t>
      </w:r>
    </w:p>
    <w:p>
      <w:pPr>
        <w:ind w:firstLine="560"/>
      </w:pPr>
      <w:r>
        <w:rPr>
          <w:rFonts w:hint="eastAsia"/>
        </w:rPr>
        <w:t>也可用基准剂量（</w:t>
      </w:r>
      <w:r>
        <w:t>Benchmark Dose</w:t>
      </w:r>
      <w:r>
        <w:rPr>
          <w:rFonts w:hint="eastAsia"/>
        </w:rPr>
        <w:t>，BMD）值进行安全评估。</w:t>
      </w:r>
    </w:p>
    <w:p>
      <w:pPr>
        <w:ind w:firstLine="560"/>
      </w:pPr>
      <w:r>
        <w:rPr>
          <w:rFonts w:hint="eastAsia"/>
        </w:rPr>
        <w:t>4.2.2对于无阈值原料的致癌性，可通过剂量描述参数</w:t>
      </w:r>
      <w:bookmarkStart w:id="7" w:name="OLE_LINK2"/>
      <w:r>
        <w:rPr>
          <w:rFonts w:hint="eastAsia"/>
        </w:rPr>
        <w:t>T25等</w:t>
      </w:r>
      <w:bookmarkEnd w:id="7"/>
      <w:r>
        <w:rPr>
          <w:rFonts w:hint="eastAsia"/>
        </w:rPr>
        <w:t>来进行剂量反应关系评估。</w:t>
      </w:r>
    </w:p>
    <w:p>
      <w:pPr>
        <w:ind w:firstLine="560"/>
      </w:pPr>
      <w:r>
        <w:t>4.2.3</w:t>
      </w:r>
      <w:r>
        <w:rPr>
          <w:rFonts w:hint="eastAsia"/>
        </w:rPr>
        <w:t>对于可能存在致敏风险的原料或风险物质，可通过</w:t>
      </w:r>
      <w:r>
        <w:t>NESIL</w:t>
      </w:r>
      <w:r>
        <w:rPr>
          <w:rFonts w:hint="eastAsia"/>
        </w:rPr>
        <w:t>进行安全评估。</w:t>
      </w:r>
    </w:p>
    <w:p>
      <w:pPr>
        <w:pStyle w:val="3"/>
        <w:ind w:firstLine="562"/>
      </w:pPr>
      <w:r>
        <w:rPr>
          <w:rFonts w:hint="eastAsia"/>
        </w:rPr>
        <w:t>4.3暴露评估</w:t>
      </w:r>
    </w:p>
    <w:p>
      <w:pPr>
        <w:ind w:firstLine="560"/>
      </w:pPr>
      <w:r>
        <w:rPr>
          <w:rFonts w:hint="eastAsia"/>
        </w:rPr>
        <w:t>指通过对化妆品原料和风险物质暴露于人体的部位、浓度、频率以及持续时间等的评估，确定其暴露水平。</w:t>
      </w:r>
    </w:p>
    <w:p>
      <w:pPr>
        <w:ind w:firstLine="560"/>
      </w:pPr>
      <w:r>
        <w:rPr>
          <w:rFonts w:hint="eastAsia"/>
        </w:rPr>
        <w:t>4.3.1 进行暴露评估时，应考虑含该原料或风险物质产品的使用部位、使用量、浓度、使用频率以及持续时间等因素，具体包括：</w:t>
      </w:r>
    </w:p>
    <w:p>
      <w:pPr>
        <w:ind w:firstLine="560"/>
      </w:pPr>
      <w:r>
        <w:rPr>
          <w:rFonts w:hint="eastAsia"/>
        </w:rPr>
        <w:t>(1)用于化妆品中的类别。</w:t>
      </w:r>
    </w:p>
    <w:p>
      <w:pPr>
        <w:ind w:firstLine="560"/>
      </w:pPr>
      <w:r>
        <w:rPr>
          <w:rFonts w:hint="eastAsia"/>
        </w:rPr>
        <w:t>(2)暴露部位或途径：皮肤、粘膜暴露，以及可能的吸入暴露。</w:t>
      </w:r>
    </w:p>
    <w:p>
      <w:pPr>
        <w:ind w:firstLine="560"/>
      </w:pPr>
      <w:r>
        <w:rPr>
          <w:rFonts w:hint="eastAsia"/>
        </w:rPr>
        <w:t>(3)暴露频率：包括间隔使用或每天使用的次数等。</w:t>
      </w:r>
    </w:p>
    <w:p>
      <w:pPr>
        <w:ind w:firstLine="560"/>
      </w:pPr>
      <w:r>
        <w:rPr>
          <w:rFonts w:hint="eastAsia"/>
        </w:rPr>
        <w:t>(4)暴露持续时间：包括驻留或用后清洗等。</w:t>
      </w:r>
    </w:p>
    <w:p>
      <w:pPr>
        <w:ind w:firstLine="560"/>
      </w:pPr>
      <w:r>
        <w:rPr>
          <w:rFonts w:hint="eastAsia"/>
        </w:rPr>
        <w:t>(5)暴露量：包括每次使用量及每日使用总量等。</w:t>
      </w:r>
    </w:p>
    <w:p>
      <w:pPr>
        <w:ind w:firstLine="560"/>
      </w:pPr>
      <w:r>
        <w:rPr>
          <w:rFonts w:hint="eastAsia"/>
        </w:rPr>
        <w:t>(6)浓度：在产品中的浓度。</w:t>
      </w:r>
    </w:p>
    <w:p>
      <w:pPr>
        <w:ind w:firstLine="560"/>
      </w:pPr>
      <w:r>
        <w:rPr>
          <w:rFonts w:hint="eastAsia"/>
        </w:rPr>
        <w:t>(7)透皮吸收率。</w:t>
      </w:r>
    </w:p>
    <w:p>
      <w:pPr>
        <w:ind w:firstLine="560"/>
      </w:pPr>
      <w:r>
        <w:rPr>
          <w:rFonts w:hint="eastAsia"/>
        </w:rPr>
        <w:t>(8)暴露对象的特殊性：如儿童、孕妇、哺乳期妇女等。</w:t>
      </w:r>
    </w:p>
    <w:p>
      <w:pPr>
        <w:ind w:firstLine="560"/>
      </w:pPr>
      <w:r>
        <w:rPr>
          <w:rFonts w:hint="eastAsia"/>
        </w:rPr>
        <w:t xml:space="preserve"> 4.3.2全身暴露量（</w:t>
      </w:r>
      <w:r>
        <w:t>Systemic Exposure Dosage</w:t>
      </w:r>
      <w:r>
        <w:rPr>
          <w:rFonts w:hint="eastAsia"/>
        </w:rPr>
        <w:t>，SED）的计算</w:t>
      </w:r>
    </w:p>
    <w:p>
      <w:pPr>
        <w:ind w:firstLine="560"/>
      </w:pPr>
      <w:r>
        <w:rPr>
          <w:rFonts w:hint="eastAsia"/>
        </w:rPr>
        <w:t>(1)如果暴露是以每次使用经皮吸收μg/cm</w:t>
      </w:r>
      <w:r>
        <w:t>2</w:t>
      </w:r>
      <w:r>
        <w:rPr>
          <w:rFonts w:hint="eastAsia"/>
        </w:rPr>
        <w:t>时，根据使用面积，按以下公式计算：</w:t>
      </w:r>
    </w:p>
    <w:p>
      <w:pPr>
        <w:ind w:firstLine="750" w:firstLineChars="250"/>
        <w:rPr>
          <w:rFonts w:cs="仿宋_GB2312"/>
          <w:sz w:val="30"/>
          <w:szCs w:val="30"/>
        </w:rPr>
      </w:pPr>
      <w:r>
        <w:rPr>
          <w:rFonts w:cs="仿宋_GB2312"/>
          <w:sz w:val="30"/>
          <w:szCs w:val="30"/>
        </w:rPr>
        <w:drawing>
          <wp:inline distT="0" distB="0" distL="0" distR="0">
            <wp:extent cx="24587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458720" cy="586740"/>
                    </a:xfrm>
                    <a:prstGeom prst="rect">
                      <a:avLst/>
                    </a:prstGeom>
                    <a:noFill/>
                    <a:ln>
                      <a:noFill/>
                    </a:ln>
                  </pic:spPr>
                </pic:pic>
              </a:graphicData>
            </a:graphic>
          </wp:inline>
        </w:drawing>
      </w:r>
    </w:p>
    <w:p>
      <w:pPr>
        <w:ind w:firstLine="560"/>
      </w:pPr>
      <w:r>
        <w:rPr>
          <w:rFonts w:hint="eastAsia"/>
        </w:rPr>
        <w:t>其中：</w:t>
      </w:r>
    </w:p>
    <w:p>
      <w:pPr>
        <w:ind w:firstLine="560"/>
      </w:pPr>
      <w:r>
        <w:rPr>
          <w:rFonts w:hint="eastAsia"/>
        </w:rPr>
        <w:t>SED：全身暴露量（</w:t>
      </w:r>
      <w:r>
        <w:rPr>
          <w:rFonts w:hint="eastAsia" w:hAnsi="Times New Roman"/>
        </w:rPr>
        <w:t>mg/kg·bw/day</w:t>
      </w:r>
      <w:r>
        <w:rPr>
          <w:rFonts w:hint="eastAsia"/>
        </w:rPr>
        <w:t>）</w:t>
      </w:r>
    </w:p>
    <w:p>
      <w:pPr>
        <w:ind w:firstLine="560"/>
      </w:pPr>
      <w:r>
        <w:rPr>
          <w:rFonts w:hint="eastAsia"/>
        </w:rPr>
        <w:t>DAa：经皮吸收量（</w:t>
      </w:r>
      <w:r>
        <w:rPr>
          <w:rFonts w:hint="eastAsia" w:hAnsi="Times New Roman"/>
        </w:rPr>
        <w:t>μg/cm</w:t>
      </w:r>
      <w:r>
        <w:rPr>
          <w:rFonts w:hint="eastAsia" w:hAnsi="Times New Roman"/>
          <w:vertAlign w:val="superscript"/>
        </w:rPr>
        <w:t>2</w:t>
      </w:r>
      <w:r>
        <w:rPr>
          <w:rFonts w:hint="eastAsia"/>
        </w:rPr>
        <w:t>），每平方厘米所吸收的原料或风险物质的量，测试条件应该和产品的实际使用条件一致</w:t>
      </w:r>
      <w:r>
        <w:t xml:space="preserve"> </w:t>
      </w:r>
    </w:p>
    <w:p>
      <w:pPr>
        <w:ind w:firstLine="560"/>
      </w:pPr>
      <w:r>
        <w:rPr>
          <w:rFonts w:hint="eastAsia"/>
        </w:rPr>
        <w:t>SSA：暴露于化妆品的皮肤表面积（</w:t>
      </w:r>
      <w:r>
        <w:t>cm</w:t>
      </w:r>
      <w:r>
        <w:rPr>
          <w:vertAlign w:val="superscript"/>
        </w:rPr>
        <w:t>2</w:t>
      </w:r>
      <w:r>
        <w:rPr>
          <w:rFonts w:hint="eastAsia"/>
        </w:rPr>
        <w:t>）</w:t>
      </w:r>
    </w:p>
    <w:p>
      <w:pPr>
        <w:ind w:firstLine="560"/>
      </w:pPr>
      <w:r>
        <w:rPr>
          <w:rFonts w:hint="eastAsia"/>
        </w:rPr>
        <w:t>F：产品的日使用次数（day</w:t>
      </w:r>
      <w:r>
        <w:rPr>
          <w:vertAlign w:val="superscript"/>
        </w:rPr>
        <w:t>-1</w:t>
      </w:r>
      <w:r>
        <w:rPr>
          <w:rFonts w:hint="eastAsia"/>
        </w:rPr>
        <w:t>）</w:t>
      </w:r>
    </w:p>
    <w:p>
      <w:pPr>
        <w:ind w:firstLine="560"/>
      </w:pPr>
      <w:r>
        <w:rPr>
          <w:rFonts w:hint="eastAsia"/>
        </w:rPr>
        <w:t>BW：默认的人体体重（60kg）</w:t>
      </w:r>
    </w:p>
    <w:p>
      <w:pPr>
        <w:ind w:firstLine="560"/>
      </w:pPr>
      <w:r>
        <w:rPr>
          <w:rFonts w:hint="eastAsia"/>
        </w:rPr>
        <w:t xml:space="preserve"> (2)如果经皮吸收率是以百分比形式给予时，根据使用量，按以下公式计算：</w:t>
      </w:r>
    </w:p>
    <w:p>
      <w:pPr>
        <w:ind w:firstLine="900" w:firstLineChars="300"/>
        <w:rPr>
          <w:rFonts w:cs="仿宋_GB2312"/>
          <w:sz w:val="30"/>
          <w:szCs w:val="30"/>
        </w:rPr>
      </w:pPr>
      <w:r>
        <w:rPr>
          <w:rFonts w:cs="仿宋_GB2312"/>
          <w:sz w:val="30"/>
          <w:szCs w:val="30"/>
        </w:rPr>
        <w:drawing>
          <wp:inline distT="0" distB="0" distL="0" distR="0">
            <wp:extent cx="1638935" cy="39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38935" cy="396875"/>
                    </a:xfrm>
                    <a:prstGeom prst="rect">
                      <a:avLst/>
                    </a:prstGeom>
                    <a:noFill/>
                    <a:ln>
                      <a:noFill/>
                    </a:ln>
                  </pic:spPr>
                </pic:pic>
              </a:graphicData>
            </a:graphic>
          </wp:inline>
        </w:drawing>
      </w:r>
    </w:p>
    <w:p>
      <w:pPr>
        <w:ind w:firstLine="560"/>
      </w:pPr>
      <w:r>
        <w:rPr>
          <w:rFonts w:hint="eastAsia"/>
        </w:rPr>
        <w:t>其中：</w:t>
      </w:r>
    </w:p>
    <w:p>
      <w:pPr>
        <w:ind w:firstLine="560"/>
      </w:pPr>
      <w:r>
        <w:rPr>
          <w:rFonts w:hint="eastAsia"/>
        </w:rPr>
        <w:t>SED：全身暴露量（mg/kg·bw/day）</w:t>
      </w:r>
    </w:p>
    <w:p>
      <w:pPr>
        <w:ind w:firstLine="560"/>
      </w:pPr>
      <w:r>
        <w:rPr>
          <w:rFonts w:hint="eastAsia"/>
        </w:rPr>
        <w:t>A：以单位体重计的化妆品每天使用量（mg/kg·bw/day）</w:t>
      </w:r>
    </w:p>
    <w:p>
      <w:pPr>
        <w:ind w:firstLine="560"/>
      </w:pPr>
      <w:r>
        <w:rPr>
          <w:rFonts w:hint="eastAsia"/>
        </w:rPr>
        <w:t>C：在产品中的浓度（%）</w:t>
      </w:r>
    </w:p>
    <w:p>
      <w:pPr>
        <w:ind w:firstLine="560"/>
      </w:pPr>
      <w:r>
        <w:rPr>
          <w:rFonts w:hint="eastAsia"/>
        </w:rPr>
        <w:t>DAp：经皮吸收率（%）。在无透皮吸收数据时，吸收率以</w:t>
      </w:r>
      <w:r>
        <w:t>100%计</w:t>
      </w:r>
      <w:r>
        <w:rPr>
          <w:rFonts w:hint="eastAsia"/>
        </w:rPr>
        <w:t>；若当原料分子量﹥</w:t>
      </w:r>
      <w:r>
        <w:t>500道尔顿，</w:t>
      </w:r>
      <w:r>
        <w:rPr>
          <w:rFonts w:hint="eastAsia"/>
        </w:rPr>
        <w:t>高度电离，且脂水分配系数</w:t>
      </w:r>
      <w:r>
        <w:t>Log Pow</w:t>
      </w:r>
      <w:r>
        <w:rPr>
          <w:rFonts w:hint="eastAsia"/>
        </w:rPr>
        <w:t>≤</w:t>
      </w:r>
      <w:r>
        <w:t>-1或</w:t>
      </w:r>
      <w:r>
        <w:rPr>
          <w:rFonts w:hint="eastAsia"/>
        </w:rPr>
        <w:t>≥</w:t>
      </w:r>
      <w:r>
        <w:t>4</w:t>
      </w:r>
      <w:r>
        <w:rPr>
          <w:rFonts w:hint="eastAsia"/>
        </w:rPr>
        <w:t>，熔点</w:t>
      </w:r>
      <w:r>
        <w:t>&gt;200</w:t>
      </w:r>
      <w:r>
        <w:rPr>
          <w:rFonts w:hint="eastAsia"/>
        </w:rPr>
        <w:t>℃</w:t>
      </w:r>
      <w:r>
        <w:t>时，吸收率取10%</w:t>
      </w:r>
      <w:r>
        <w:rPr>
          <w:rFonts w:hint="eastAsia"/>
        </w:rPr>
        <w:t>。吸收率不以</w:t>
      </w:r>
      <w:r>
        <w:t>100%</w:t>
      </w:r>
      <w:r>
        <w:rPr>
          <w:rFonts w:hint="eastAsia"/>
        </w:rPr>
        <w:t>计时，需提供有关情况说明。</w:t>
      </w:r>
    </w:p>
    <w:p>
      <w:pPr>
        <w:ind w:firstLine="560"/>
      </w:pPr>
      <w:r>
        <w:rPr>
          <w:rFonts w:hint="eastAsia"/>
        </w:rPr>
        <w:t>暴露量计算时还应考虑其他暴露途径的可能性（如吸入、食用等）；必要时应考虑除化妆品外其他可能来源（如：食品和环境等）的暴露情况。</w:t>
      </w:r>
    </w:p>
    <w:p>
      <w:pPr>
        <w:pStyle w:val="3"/>
        <w:ind w:firstLine="562"/>
      </w:pPr>
      <w:r>
        <w:rPr>
          <w:rFonts w:hint="eastAsia"/>
        </w:rPr>
        <w:t>4.4风险特征描述</w:t>
      </w:r>
    </w:p>
    <w:p>
      <w:pPr>
        <w:ind w:firstLine="560"/>
      </w:pPr>
      <w:r>
        <w:rPr>
          <w:rFonts w:hint="eastAsia"/>
        </w:rPr>
        <w:t>指化妆品原料和风险物质对人体健康造成损害的可能性和损害程度。可通过计算安全边际值、剂量描述参数T</w:t>
      </w:r>
      <w:r>
        <w:t>25</w:t>
      </w:r>
      <w:r>
        <w:rPr>
          <w:rFonts w:hint="eastAsia"/>
        </w:rPr>
        <w:t>、国际公认的致癌评估导则或预期无诱导致敏剂量等方式进行描述。</w:t>
      </w:r>
    </w:p>
    <w:p>
      <w:pPr>
        <w:ind w:firstLine="560"/>
      </w:pPr>
      <w:r>
        <w:rPr>
          <w:rFonts w:hint="eastAsia"/>
        </w:rPr>
        <w:t>4.4.1有阈值原料和风险物质的风险特征描述</w:t>
      </w:r>
    </w:p>
    <w:p>
      <w:pPr>
        <w:ind w:firstLine="560"/>
      </w:pPr>
      <w:r>
        <w:rPr>
          <w:rFonts w:hint="eastAsia"/>
        </w:rPr>
        <w:t>对于有阈值的化合物，通常通过计算其安全边际进行评估。计算公式为：</w:t>
      </w:r>
    </w:p>
    <w:p>
      <w:pPr>
        <w:ind w:firstLine="1050" w:firstLineChars="350"/>
        <w:rPr>
          <w:rFonts w:cs="仿宋_GB2312"/>
          <w:sz w:val="30"/>
          <w:szCs w:val="30"/>
        </w:rPr>
      </w:pPr>
      <w:r>
        <w:rPr>
          <w:rFonts w:cs="仿宋_GB2312"/>
          <w:sz w:val="30"/>
          <w:szCs w:val="30"/>
        </w:rPr>
        <w:drawing>
          <wp:inline distT="0" distB="0" distL="0" distR="0">
            <wp:extent cx="1224915" cy="586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24915" cy="586740"/>
                    </a:xfrm>
                    <a:prstGeom prst="rect">
                      <a:avLst/>
                    </a:prstGeom>
                    <a:noFill/>
                    <a:ln>
                      <a:noFill/>
                    </a:ln>
                  </pic:spPr>
                </pic:pic>
              </a:graphicData>
            </a:graphic>
          </wp:inline>
        </w:drawing>
      </w:r>
    </w:p>
    <w:p>
      <w:pPr>
        <w:ind w:firstLine="560"/>
      </w:pPr>
      <w:r>
        <w:rPr>
          <w:rFonts w:hint="eastAsia"/>
        </w:rPr>
        <w:t>其中：</w:t>
      </w:r>
    </w:p>
    <w:p>
      <w:pPr>
        <w:ind w:firstLine="560"/>
      </w:pPr>
      <w:r>
        <w:rPr>
          <w:rFonts w:hint="eastAsia"/>
        </w:rPr>
        <w:t>MoS：安全边际</w:t>
      </w:r>
    </w:p>
    <w:p>
      <w:pPr>
        <w:ind w:firstLine="560"/>
      </w:pPr>
      <w:r>
        <w:t>NOAEL：</w:t>
      </w:r>
      <w:r>
        <w:rPr>
          <w:rFonts w:hint="eastAsia"/>
        </w:rPr>
        <w:t>未观察到有害作用的剂量</w:t>
      </w:r>
    </w:p>
    <w:p>
      <w:pPr>
        <w:ind w:firstLine="560"/>
      </w:pPr>
      <w:r>
        <w:rPr>
          <w:rFonts w:hint="eastAsia"/>
        </w:rPr>
        <w:t>SED：全身暴露量（mg/kg·bw/day）</w:t>
      </w:r>
    </w:p>
    <w:p>
      <w:pPr>
        <w:ind w:firstLine="560"/>
      </w:pPr>
      <w:r>
        <w:rPr>
          <w:rFonts w:hint="eastAsia"/>
        </w:rPr>
        <w:t>在通常情况下, 当MoS≥100时，可以判定是安全的。</w:t>
      </w:r>
      <w:r>
        <w:t xml:space="preserve"> </w:t>
      </w:r>
    </w:p>
    <w:p>
      <w:pPr>
        <w:ind w:firstLine="560"/>
      </w:pPr>
      <w:r>
        <w:rPr>
          <w:rFonts w:hint="eastAsia"/>
        </w:rPr>
        <w:t>如化妆品原料或风险物质的MoS＜100，则认为其具有一定的风险性，原则上不允许使用。对于特殊使用方式的原料如染发剂，当</w:t>
      </w:r>
      <w:r>
        <w:t>MoS</w:t>
      </w:r>
      <w:r>
        <w:rPr>
          <w:rFonts w:hint="eastAsia"/>
        </w:rPr>
        <w:t>值小于</w:t>
      </w:r>
      <w:r>
        <w:t>100时，需进一步进行评估。</w:t>
      </w:r>
    </w:p>
    <w:p>
      <w:pPr>
        <w:ind w:firstLine="560"/>
      </w:pPr>
      <w:r>
        <w:t>100是指默认的不确定因子（UF），由种间差异10和种内差异10</w:t>
      </w:r>
      <w:r>
        <w:rPr>
          <w:rFonts w:hint="eastAsia"/>
        </w:rPr>
        <w:t>相乘所得，如有毒代动力学等数据，应考虑进行调整。如果毒理学数据质量存在缺陷，应适当增加不确定因子。</w:t>
      </w:r>
    </w:p>
    <w:p>
      <w:pPr>
        <w:ind w:firstLine="560"/>
      </w:pPr>
      <w:r>
        <w:rPr>
          <w:rFonts w:hint="eastAsia"/>
        </w:rPr>
        <w:t>4.4.2无阈值原料的风险特征描述</w:t>
      </w:r>
    </w:p>
    <w:p>
      <w:pPr>
        <w:ind w:firstLine="560"/>
      </w:pPr>
      <w:r>
        <w:rPr>
          <w:rFonts w:hint="eastAsia"/>
        </w:rPr>
        <w:t>对于无阈值的原料和风险物质，可通过计算其终生致癌风险度（L</w:t>
      </w:r>
      <w:r>
        <w:t xml:space="preserve">ifetime </w:t>
      </w:r>
      <w:r>
        <w:rPr>
          <w:rFonts w:hint="eastAsia"/>
        </w:rPr>
        <w:t>C</w:t>
      </w:r>
      <w:r>
        <w:t xml:space="preserve">ancer </w:t>
      </w:r>
      <w:r>
        <w:rPr>
          <w:rFonts w:hint="eastAsia"/>
        </w:rPr>
        <w:t>R</w:t>
      </w:r>
      <w:r>
        <w:t xml:space="preserve">isk </w:t>
      </w:r>
      <w:r>
        <w:rPr>
          <w:rFonts w:hint="eastAsia"/>
        </w:rPr>
        <w:t>，LCR）进行风险程度的评估。计算如下：</w:t>
      </w:r>
    </w:p>
    <w:p>
      <w:pPr>
        <w:ind w:firstLine="560"/>
      </w:pPr>
      <w:r>
        <w:rPr>
          <w:rFonts w:hint="eastAsia"/>
        </w:rPr>
        <w:t xml:space="preserve"> (1)首先按照以下公式将动物试验获得的T</w:t>
      </w:r>
      <w:r>
        <w:rPr>
          <w:vertAlign w:val="subscript"/>
        </w:rPr>
        <w:t>25</w:t>
      </w:r>
      <w:r>
        <w:rPr>
          <w:rFonts w:hint="eastAsia"/>
        </w:rPr>
        <w:t>转换成人T</w:t>
      </w:r>
      <w:r>
        <w:rPr>
          <w:vertAlign w:val="subscript"/>
        </w:rPr>
        <w:t>25</w:t>
      </w:r>
      <w:r>
        <w:rPr>
          <w:rFonts w:hint="eastAsia"/>
        </w:rPr>
        <w:t>（HT</w:t>
      </w:r>
      <w:r>
        <w:rPr>
          <w:vertAlign w:val="subscript"/>
        </w:rPr>
        <w:t>25</w:t>
      </w:r>
      <w:r>
        <w:rPr>
          <w:rFonts w:hint="eastAsia"/>
        </w:rPr>
        <w:t>）：</w:t>
      </w:r>
    </w:p>
    <w:p>
      <w:pPr>
        <w:ind w:firstLine="560"/>
      </w:pPr>
      <w:r>
        <w:rPr>
          <w:rFonts w:hint="eastAsia" w:ascii="仿宋" w:hAnsi="仿宋" w:eastAsia="仿宋" w:cs="仿宋_GB2312"/>
          <w:position w:val="-32"/>
          <w:szCs w:val="30"/>
        </w:rPr>
        <w:object>
          <v:shape id="_x0000_i1025" o:spt="75" type="#_x0000_t75" style="height:48.75pt;width:157.5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ind w:firstLine="560"/>
      </w:pPr>
      <w:r>
        <w:rPr>
          <w:rFonts w:hint="eastAsia"/>
        </w:rPr>
        <w:t>式中：</w:t>
      </w:r>
    </w:p>
    <w:p>
      <w:pPr>
        <w:ind w:firstLine="560"/>
      </w:pPr>
      <w:r>
        <w:rPr>
          <w:rFonts w:hint="eastAsia"/>
        </w:rPr>
        <w:t>T</w:t>
      </w:r>
      <w:r>
        <w:rPr>
          <w:vertAlign w:val="subscript"/>
        </w:rPr>
        <w:t>25</w:t>
      </w:r>
      <w:r>
        <w:t>：</w:t>
      </w:r>
      <w:r>
        <w:rPr>
          <w:rFonts w:hint="eastAsia"/>
        </w:rPr>
        <w:t>对自发肿瘤发生率进行校正后，25%的实验动物的某部位有发生肿瘤的剂量。</w:t>
      </w:r>
    </w:p>
    <w:p>
      <w:pPr>
        <w:ind w:firstLine="560"/>
      </w:pPr>
      <w:r>
        <w:rPr>
          <w:rFonts w:hint="eastAsia"/>
        </w:rPr>
        <w:t>HT</w:t>
      </w:r>
      <w:r>
        <w:t>25</w:t>
      </w:r>
      <w:r>
        <w:rPr>
          <w:rFonts w:hint="eastAsia"/>
        </w:rPr>
        <w:t xml:space="preserve"> ：由T</w:t>
      </w:r>
      <w:r>
        <w:t>25</w:t>
      </w:r>
      <w:r>
        <w:rPr>
          <w:rFonts w:hint="eastAsia"/>
        </w:rPr>
        <w:t>转换的人T</w:t>
      </w:r>
      <w:r>
        <w:t>25</w:t>
      </w:r>
    </w:p>
    <w:p>
      <w:pPr>
        <w:ind w:firstLine="560"/>
      </w:pPr>
      <w:r>
        <w:rPr>
          <w:rFonts w:hint="eastAsia"/>
        </w:rPr>
        <w:t>BW ：体重</w:t>
      </w:r>
      <w:r>
        <w:t>kg</w:t>
      </w:r>
      <w:r>
        <w:rPr>
          <w:rFonts w:hint="eastAsia"/>
        </w:rPr>
        <w:t>（默认的成人体重为60kg）</w:t>
      </w:r>
    </w:p>
    <w:p>
      <w:pPr>
        <w:ind w:firstLine="560"/>
      </w:pPr>
      <w:r>
        <w:rPr>
          <w:rFonts w:hint="eastAsia"/>
        </w:rPr>
        <w:t>(2) 根据计算得出的HT</w:t>
      </w:r>
      <w:r>
        <w:rPr>
          <w:vertAlign w:val="subscript"/>
        </w:rPr>
        <w:t>25</w:t>
      </w:r>
      <w:r>
        <w:rPr>
          <w:rFonts w:hint="eastAsia"/>
        </w:rPr>
        <w:t>以及暴露量按以下公式计算终生致癌风险：</w:t>
      </w:r>
    </w:p>
    <w:p>
      <w:pPr>
        <w:ind w:firstLine="560"/>
      </w:pPr>
      <w:r>
        <w:rPr>
          <w:rFonts w:hint="eastAsia" w:cs="仿宋_GB2312"/>
          <w:szCs w:val="30"/>
        </w:rPr>
        <w:object>
          <v:shape id="_x0000_i1026" o:spt="75" type="#_x0000_t75" style="height:42pt;width:103.5pt;" o:ole="t" filled="f" o:preferrelative="t" stroked="f" coordsize="21600,21600">
            <v:path/>
            <v:fill on="f" focussize="0,0"/>
            <v:stroke on="f" joinstyle="miter"/>
            <v:imagedata r:id="rId26" o:title=""/>
            <o:lock v:ext="edit" aspectratio="t"/>
            <w10:wrap type="none"/>
            <w10:anchorlock/>
          </v:shape>
          <o:OLEObject Type="Embed" ProgID="Equation.3" ShapeID="_x0000_i1026" DrawAspect="Content" ObjectID="_1468075726" r:id="rId25">
            <o:LockedField>false</o:LockedField>
          </o:OLEObject>
        </w:object>
      </w:r>
    </w:p>
    <w:p>
      <w:pPr>
        <w:ind w:firstLine="560"/>
      </w:pPr>
      <w:r>
        <w:rPr>
          <w:rFonts w:hint="eastAsia"/>
        </w:rPr>
        <w:t>式中：</w:t>
      </w:r>
    </w:p>
    <w:p>
      <w:pPr>
        <w:ind w:firstLine="560"/>
      </w:pPr>
      <w:r>
        <w:rPr>
          <w:rFonts w:hint="eastAsia"/>
        </w:rPr>
        <w:t>LCR：终生致癌风险</w:t>
      </w:r>
    </w:p>
    <w:p>
      <w:pPr>
        <w:ind w:firstLine="560"/>
      </w:pPr>
      <w:r>
        <w:rPr>
          <w:rFonts w:hint="eastAsia"/>
        </w:rPr>
        <w:t>SED：终生每日暴露平均剂量（mg/kg·bw/day）</w:t>
      </w:r>
    </w:p>
    <w:p>
      <w:pPr>
        <w:ind w:firstLine="560"/>
      </w:pPr>
      <w:r>
        <w:rPr>
          <w:rFonts w:hint="eastAsia"/>
        </w:rPr>
        <w:t>如果该原料或风险物质的终生致癌风险度＜</w:t>
      </w:r>
      <w:r>
        <w:t>10</w:t>
      </w:r>
      <w:r>
        <w:rPr>
          <w:vertAlign w:val="superscript"/>
        </w:rPr>
        <w:t>-6</w:t>
      </w:r>
      <w:r>
        <w:rPr>
          <w:rFonts w:hint="eastAsia"/>
        </w:rPr>
        <w:t>，则认为其引起癌症的风险性较低，可以安全使用。</w:t>
      </w:r>
    </w:p>
    <w:p>
      <w:pPr>
        <w:ind w:firstLine="560"/>
      </w:pPr>
      <w:r>
        <w:rPr>
          <w:rFonts w:hint="eastAsia"/>
        </w:rPr>
        <w:t>如果该原料或风险物质的终生致癌风险度≥</w:t>
      </w:r>
      <w:r>
        <w:t>10</w:t>
      </w:r>
      <w:r>
        <w:rPr>
          <w:vertAlign w:val="superscript"/>
        </w:rPr>
        <w:t>-6</w:t>
      </w:r>
      <w:r>
        <w:rPr>
          <w:rFonts w:hint="eastAsia"/>
        </w:rPr>
        <w:t>，则认为其引起癌症的风险性较高，应对其使用的安全性予以关注。</w:t>
      </w:r>
    </w:p>
    <w:p>
      <w:pPr>
        <w:ind w:firstLine="560"/>
      </w:pPr>
      <w:r>
        <w:t>4.4.3</w:t>
      </w:r>
      <w:r>
        <w:rPr>
          <w:rFonts w:hint="eastAsia"/>
        </w:rPr>
        <w:t>致敏性风险特征描述</w:t>
      </w:r>
    </w:p>
    <w:p>
      <w:pPr>
        <w:ind w:firstLine="560"/>
      </w:pPr>
      <w:r>
        <w:rPr>
          <w:rFonts w:hint="eastAsia"/>
        </w:rPr>
        <w:t>对于潜在致敏风险的原料和风险物质，可按以下公式通过预期无诱导致敏剂量</w:t>
      </w:r>
      <w:r>
        <w:t>计算得出AEL。</w:t>
      </w:r>
    </w:p>
    <w:p>
      <w:pPr>
        <w:pStyle w:val="62"/>
        <w:numPr>
          <w:ilvl w:val="255"/>
          <w:numId w:val="0"/>
        </w:numPr>
        <w:jc w:val="center"/>
        <w:rPr>
          <w:rFonts w:ascii="Cambria Math" w:hAnsi="Cambria Math"/>
          <w:szCs w:val="21"/>
        </w:rPr>
      </w:pPr>
      <w:r>
        <w:rPr>
          <w:rFonts w:hint="eastAsia"/>
          <w:position w:val="-24"/>
        </w:rPr>
        <w:object>
          <v:shape id="_x0000_i1027" o:spt="75" type="#_x0000_t75" style="height:31.5pt;width:73.5pt;" o:ole="t" filled="f" o:preferrelative="t" stroked="f" coordsize="21600,21600">
            <v:path/>
            <v:fill on="f" focussize="0,0"/>
            <v:stroke on="f" joinstyle="miter"/>
            <v:imagedata r:id="rId28" o:title=""/>
            <o:lock v:ext="edit" aspectratio="t"/>
            <w10:wrap type="none"/>
            <w10:anchorlock/>
          </v:shape>
          <o:OLEObject Type="Embed" ProgID="Equation.3" ShapeID="_x0000_i1027" DrawAspect="Content" ObjectID="_1468075727" r:id="rId27">
            <o:LockedField>false</o:LockedField>
          </o:OLEObject>
        </w:object>
      </w:r>
    </w:p>
    <w:p>
      <w:pPr>
        <w:ind w:firstLine="560"/>
      </w:pPr>
      <w:r>
        <w:rPr>
          <w:rFonts w:hint="eastAsia"/>
        </w:rPr>
        <w:t>式中：</w:t>
      </w:r>
    </w:p>
    <w:p>
      <w:pPr>
        <w:ind w:firstLine="560"/>
      </w:pPr>
      <w:r>
        <w:t>AEL：可接受暴露水平（μg/cm</w:t>
      </w:r>
      <w:r>
        <w:rPr>
          <w:vertAlign w:val="superscript"/>
        </w:rPr>
        <w:t>2</w:t>
      </w:r>
      <w:r>
        <w:rPr>
          <w:rFonts w:hint="eastAsia"/>
        </w:rPr>
        <w:t>）</w:t>
      </w:r>
    </w:p>
    <w:p>
      <w:pPr>
        <w:ind w:firstLine="560"/>
      </w:pPr>
      <w:r>
        <w:t>NESIL：预期无诱导致敏剂量（μg/cm</w:t>
      </w:r>
      <w:r>
        <w:rPr>
          <w:vertAlign w:val="superscript"/>
        </w:rPr>
        <w:t>2</w:t>
      </w:r>
      <w:r>
        <w:rPr>
          <w:rFonts w:hint="eastAsia"/>
        </w:rPr>
        <w:t>）</w:t>
      </w:r>
    </w:p>
    <w:p>
      <w:pPr>
        <w:ind w:firstLine="560"/>
      </w:pPr>
      <w:r>
        <w:t>SAF：致敏评估因子，根据个体差异、产品类型、使用部位</w:t>
      </w:r>
      <w:r>
        <w:rPr>
          <w:rFonts w:hint="eastAsia"/>
        </w:rPr>
        <w:t>、</w:t>
      </w:r>
      <w:r>
        <w:t>使用频率/持续时间</w:t>
      </w:r>
      <w:r>
        <w:rPr>
          <w:rFonts w:hint="eastAsia"/>
        </w:rPr>
        <w:t>等</w:t>
      </w:r>
      <w:r>
        <w:t>，确定恰当的致敏评估因子。</w:t>
      </w:r>
    </w:p>
    <w:p>
      <w:pPr>
        <w:ind w:firstLine="560"/>
      </w:pPr>
      <w:r>
        <w:rPr>
          <w:rFonts w:hint="eastAsia"/>
        </w:rPr>
        <w:t>当</w:t>
      </w:r>
      <w:r>
        <w:t>AEL低于消费者暴露水平时，认为其引起致敏性的风险较高，应对其使用的安全性予以关注。</w:t>
      </w:r>
    </w:p>
    <w:p>
      <w:pPr>
        <w:pStyle w:val="2"/>
        <w:spacing w:before="156" w:after="156"/>
        <w:ind w:firstLine="600"/>
      </w:pPr>
      <w:bookmarkStart w:id="8" w:name="_Toc46753157"/>
      <w:r>
        <w:t>5.毒理学研究</w:t>
      </w:r>
      <w:bookmarkEnd w:id="8"/>
    </w:p>
    <w:p>
      <w:pPr>
        <w:ind w:firstLine="560"/>
      </w:pPr>
      <w:r>
        <w:rPr>
          <w:rFonts w:hint="eastAsia"/>
        </w:rPr>
        <w:t>通过一系列毒理学试验，测定化妆品原料和风险物质的毒理学情况，将其作为危害识别的一部分，也是化妆品安全评估的基础。毒理学试验首选《规范》收录的方法，选用其他国内外权威机构发布的毒理学试验方法时，应提供所采用方法的来源、与《规范》中方法相关性等信息。</w:t>
      </w:r>
    </w:p>
    <w:p>
      <w:pPr>
        <w:pStyle w:val="3"/>
        <w:ind w:firstLine="562"/>
      </w:pPr>
      <w:r>
        <w:rPr>
          <w:rFonts w:hint="eastAsia"/>
        </w:rPr>
        <w:t>5.1 急性毒性</w:t>
      </w:r>
    </w:p>
    <w:p>
      <w:pPr>
        <w:ind w:firstLine="560"/>
      </w:pPr>
      <w:r>
        <w:rPr>
          <w:rFonts w:hint="eastAsia"/>
        </w:rPr>
        <w:t>包括急性经口和</w:t>
      </w:r>
      <w:r>
        <w:t>/或经皮</w:t>
      </w:r>
      <w:r>
        <w:rPr>
          <w:rFonts w:hint="eastAsia"/>
        </w:rPr>
        <w:t>试验等。急性毒性试验可提供短时间染毒对健康危害的信息。试验结果可作为化妆品原料和风险物质毒性分级和标签标识以及确定重复毒性试验和其它毒理学试验剂量的依据。</w:t>
      </w:r>
    </w:p>
    <w:p>
      <w:pPr>
        <w:pStyle w:val="3"/>
        <w:ind w:firstLine="562"/>
      </w:pPr>
      <w:r>
        <w:rPr>
          <w:rFonts w:hint="eastAsia"/>
        </w:rPr>
        <w:t>5.2刺激性/腐蚀性</w:t>
      </w:r>
    </w:p>
    <w:p>
      <w:pPr>
        <w:ind w:firstLine="560"/>
      </w:pPr>
      <w:r>
        <w:rPr>
          <w:rFonts w:hint="eastAsia"/>
        </w:rPr>
        <w:t>包括皮肤和/或眼睛的刺激性/腐蚀性试验。确定和评价原料和风险物质对皮肤局部或眼睛是否有刺激作用或腐蚀作用及其程度。</w:t>
      </w:r>
    </w:p>
    <w:p>
      <w:pPr>
        <w:pStyle w:val="3"/>
        <w:ind w:firstLine="562"/>
      </w:pPr>
      <w:r>
        <w:t>5.3皮肤致敏性</w:t>
      </w:r>
    </w:p>
    <w:p>
      <w:pPr>
        <w:ind w:firstLine="560"/>
      </w:pPr>
      <w:r>
        <w:rPr>
          <w:rFonts w:hint="eastAsia"/>
        </w:rPr>
        <w:t>皮肤变态反应试验确定重复接触化妆品原料和风险物质是否可引起变态反应及其程度。</w:t>
      </w:r>
    </w:p>
    <w:p>
      <w:pPr>
        <w:pStyle w:val="3"/>
        <w:ind w:firstLine="562"/>
      </w:pPr>
      <w:r>
        <w:rPr>
          <w:rFonts w:hint="eastAsia"/>
        </w:rPr>
        <w:t>5.4皮肤光毒性</w:t>
      </w:r>
    </w:p>
    <w:p>
      <w:pPr>
        <w:ind w:firstLine="560"/>
      </w:pPr>
      <w:r>
        <w:rPr>
          <w:rFonts w:hint="eastAsia"/>
        </w:rPr>
        <w:t>皮肤光毒性试验评价化妆品原料和风险物质引起皮肤光毒性的可能性。</w:t>
      </w:r>
    </w:p>
    <w:p>
      <w:pPr>
        <w:pStyle w:val="3"/>
        <w:ind w:firstLine="562"/>
      </w:pPr>
      <w:r>
        <w:t>5.5 皮肤光变态反应</w:t>
      </w:r>
    </w:p>
    <w:p>
      <w:pPr>
        <w:ind w:firstLine="560"/>
      </w:pPr>
      <w:r>
        <w:rPr>
          <w:rFonts w:hint="eastAsia"/>
        </w:rPr>
        <w:t>皮肤光变态反应试验可评估重复接触化妆品原料和风险物质，并在紫外照射下引起皮肤光变态反应的可能性。</w:t>
      </w:r>
    </w:p>
    <w:p>
      <w:pPr>
        <w:pStyle w:val="3"/>
        <w:ind w:firstLine="562"/>
      </w:pPr>
      <w:r>
        <w:rPr>
          <w:rFonts w:hint="eastAsia"/>
        </w:rPr>
        <w:t>5.6致突变性/遗传毒性</w:t>
      </w:r>
    </w:p>
    <w:p>
      <w:pPr>
        <w:ind w:firstLine="560"/>
      </w:pPr>
      <w:r>
        <w:rPr>
          <w:rFonts w:hint="eastAsia"/>
        </w:rPr>
        <w:t>评价化妆品原料和风险物质引起遗传毒性的可能性，至少应包括一项基因突变试验和一项染色体畸变试验资料。</w:t>
      </w:r>
    </w:p>
    <w:p>
      <w:pPr>
        <w:pStyle w:val="3"/>
        <w:ind w:firstLine="562"/>
      </w:pPr>
      <w:r>
        <w:rPr>
          <w:rFonts w:hint="eastAsia"/>
        </w:rPr>
        <w:t>5.7重复剂量毒性</w:t>
      </w:r>
    </w:p>
    <w:p>
      <w:pPr>
        <w:ind w:firstLine="560"/>
      </w:pPr>
      <w:r>
        <w:rPr>
          <w:rFonts w:hint="eastAsia"/>
        </w:rPr>
        <w:t>包括重复剂量经口和/或经皮毒性试验。</w:t>
      </w:r>
    </w:p>
    <w:p>
      <w:pPr>
        <w:ind w:firstLine="560"/>
      </w:pPr>
      <w:r>
        <w:rPr>
          <w:rFonts w:hint="eastAsia"/>
        </w:rPr>
        <w:t>通过重复剂量经口毒性试验不仅可获得一定时期内反复接触受试物后引起的健康效应、受试物作用靶器官和受试物体内蓄积能力资料，并可估计接触的无有害作用水平，后者可用于选择和确定慢性试验的接触水平和初步计算人群接触的安全性水平。</w:t>
      </w:r>
    </w:p>
    <w:p>
      <w:pPr>
        <w:ind w:firstLine="560"/>
      </w:pPr>
      <w:r>
        <w:rPr>
          <w:rFonts w:hint="eastAsia"/>
        </w:rPr>
        <w:t>通过重复剂量经皮毒性试验不仅可获得在一定时期内反复接触受试物后可能引起的健康影响资料，而且为评价受试物经皮渗透性、作用靶器官和慢性皮肤毒性试验剂量选择提供依据。</w:t>
      </w:r>
    </w:p>
    <w:p>
      <w:pPr>
        <w:ind w:firstLine="562"/>
      </w:pPr>
      <w:r>
        <w:rPr>
          <w:rStyle w:val="31"/>
          <w:rFonts w:hint="eastAsia"/>
        </w:rPr>
        <w:t>5.8致畸性</w:t>
      </w:r>
      <w:r>
        <w:rPr>
          <w:rFonts w:hint="eastAsia"/>
        </w:rPr>
        <w:t>：致畸试验用于检测妊娠动物接触化妆品原料和风险物质后引起胎鼠畸形的可能性。</w:t>
      </w:r>
    </w:p>
    <w:p>
      <w:pPr>
        <w:pStyle w:val="3"/>
        <w:ind w:firstLine="562"/>
      </w:pPr>
      <w:r>
        <w:t>5.</w:t>
      </w:r>
      <w:r>
        <w:rPr>
          <w:rFonts w:hint="eastAsia"/>
        </w:rPr>
        <w:t>9生殖和发育毒性</w:t>
      </w:r>
    </w:p>
    <w:p>
      <w:pPr>
        <w:ind w:firstLine="560"/>
      </w:pPr>
      <w:r>
        <w:rPr>
          <w:rFonts w:hint="eastAsia"/>
        </w:rPr>
        <w:t>生殖和发育毒性检测妊娠动物接触化妆品原料和风险物质后引起子代发育异常和亲代生殖功能损害的可能性。</w:t>
      </w:r>
    </w:p>
    <w:p>
      <w:pPr>
        <w:pStyle w:val="3"/>
        <w:ind w:firstLine="562"/>
      </w:pPr>
      <w:r>
        <w:rPr>
          <w:rFonts w:hint="eastAsia"/>
        </w:rPr>
        <w:t>5.10 慢性毒性/致癌性</w:t>
      </w:r>
    </w:p>
    <w:p>
      <w:pPr>
        <w:ind w:firstLine="560"/>
      </w:pPr>
      <w:r>
        <w:rPr>
          <w:rFonts w:hint="eastAsia"/>
        </w:rPr>
        <w:t>慢性毒性试验是使动物长期地以一定方式接触受试物而引起毒性反应的试验。当某种化学物质经短期筛选试验预测具有潜在致癌性，或其化学结构与某种已知致癌剂十分相近时，需用致癌性试验进一步验证。</w:t>
      </w:r>
    </w:p>
    <w:p>
      <w:pPr>
        <w:pStyle w:val="3"/>
        <w:ind w:firstLine="562"/>
      </w:pPr>
      <w:r>
        <w:rPr>
          <w:rFonts w:hint="eastAsia"/>
        </w:rPr>
        <w:t>5.11毒代动力学</w:t>
      </w:r>
    </w:p>
    <w:p>
      <w:pPr>
        <w:ind w:firstLine="560"/>
      </w:pPr>
      <w:r>
        <w:rPr>
          <w:rFonts w:hint="eastAsia"/>
        </w:rPr>
        <w:t>毒代动力学试验是定量地研究在毒性剂量下原料和风险物质在动物体内的吸收、分布、代谢、排泄过程和特点，进而探讨其毒性的发生和发展的规律，了解其在动物体内的分布及其靶器官。同时了解不同物种在动力学方面的差异可以为从动物实验结果外推到人时的</w:t>
      </w:r>
      <w:r>
        <w:t>不确定因子（UF）</w:t>
      </w:r>
      <w:r>
        <w:rPr>
          <w:rFonts w:hint="eastAsia"/>
        </w:rPr>
        <w:t>提供理论支持。</w:t>
      </w:r>
    </w:p>
    <w:p>
      <w:pPr>
        <w:ind w:firstLine="560"/>
      </w:pPr>
      <w:r>
        <w:rPr>
          <w:rFonts w:hint="eastAsia"/>
        </w:rPr>
        <w:t>原料和风险物质经过皮肤吸收后，其代谢转化可能会对其潜在毒性、体内分布和排泄造成重要影响。因此，在特定情况下，需要实施体内或体外生物转化研究，以证明或排除某些不良反应。</w:t>
      </w:r>
    </w:p>
    <w:p>
      <w:pPr>
        <w:ind w:firstLine="562"/>
      </w:pPr>
      <w:r>
        <w:rPr>
          <w:rStyle w:val="31"/>
          <w:rFonts w:hint="eastAsia"/>
        </w:rPr>
        <w:t>5.12 透皮吸收</w:t>
      </w:r>
    </w:p>
    <w:p>
      <w:pPr>
        <w:ind w:firstLine="560"/>
      </w:pPr>
      <w:r>
        <w:rPr>
          <w:rFonts w:hint="eastAsia"/>
        </w:rPr>
        <w:t>原料和风险物质的透皮吸收试验，可采用国际通用的透皮吸收试验方法获取相应的数据。重均分子量大于</w:t>
      </w:r>
      <w:r>
        <w:t>1000道尔顿</w:t>
      </w:r>
      <w:r>
        <w:rPr>
          <w:rFonts w:hint="eastAsia"/>
        </w:rPr>
        <w:t>，且分子量小于</w:t>
      </w:r>
      <w:r>
        <w:t>1000道尔顿</w:t>
      </w:r>
      <w:r>
        <w:rPr>
          <w:rFonts w:hint="eastAsia"/>
        </w:rPr>
        <w:t>的低聚体含量少于</w:t>
      </w:r>
      <w:r>
        <w:t>10%</w:t>
      </w:r>
      <w:r>
        <w:rPr>
          <w:rFonts w:hint="eastAsia"/>
        </w:rPr>
        <w:t>，结构和性质稳定的聚合物，可不考虑透皮吸收。</w:t>
      </w:r>
    </w:p>
    <w:p>
      <w:pPr>
        <w:ind w:firstLine="562"/>
      </w:pPr>
      <w:r>
        <w:rPr>
          <w:rStyle w:val="31"/>
        </w:rPr>
        <w:t xml:space="preserve">5.13 </w:t>
      </w:r>
      <w:r>
        <w:rPr>
          <w:rStyle w:val="31"/>
          <w:rFonts w:hint="eastAsia"/>
        </w:rPr>
        <w:t>其它毒理学试验资料</w:t>
      </w:r>
      <w:r>
        <w:rPr>
          <w:rFonts w:hint="eastAsia"/>
        </w:rPr>
        <w:t>：有经呼吸道吸收可能时，需提供吸入毒性试验资料；必要时可提供其它有助于表明原料和风险物质毒性的毒理学试验资料。</w:t>
      </w:r>
    </w:p>
    <w:p>
      <w:pPr>
        <w:pStyle w:val="3"/>
        <w:ind w:firstLine="562"/>
      </w:pPr>
      <w:r>
        <w:rPr>
          <w:rFonts w:hint="eastAsia"/>
        </w:rPr>
        <w:t>5.14人群安全性试验资料</w:t>
      </w:r>
    </w:p>
    <w:p>
      <w:pPr>
        <w:ind w:firstLine="560"/>
      </w:pPr>
      <w:r>
        <w:rPr>
          <w:rFonts w:hint="eastAsia"/>
        </w:rPr>
        <w:t>包括人体安全性试验资料和人群流行病学资料。</w:t>
      </w:r>
    </w:p>
    <w:p>
      <w:pPr>
        <w:ind w:firstLine="560"/>
      </w:pPr>
      <w:r>
        <w:rPr>
          <w:rFonts w:hint="eastAsia"/>
        </w:rPr>
        <w:t>人群流行病学资料包括人群流行病学调查、人群监测以及临床不良事件报告、事故报告等。</w:t>
      </w:r>
    </w:p>
    <w:p>
      <w:pPr>
        <w:pStyle w:val="2"/>
        <w:spacing w:before="156" w:after="156"/>
        <w:ind w:firstLine="600"/>
      </w:pPr>
      <w:bookmarkStart w:id="9" w:name="_Toc46753158"/>
      <w:r>
        <w:rPr>
          <w:rFonts w:hint="eastAsia"/>
        </w:rPr>
        <w:t>6</w:t>
      </w:r>
      <w:r>
        <w:t>.化妆品原料的</w:t>
      </w:r>
      <w:r>
        <w:rPr>
          <w:rFonts w:hint="eastAsia"/>
        </w:rPr>
        <w:t>风险评估</w:t>
      </w:r>
      <w:bookmarkEnd w:id="9"/>
    </w:p>
    <w:p>
      <w:pPr>
        <w:pStyle w:val="3"/>
        <w:ind w:firstLine="562"/>
      </w:pPr>
      <w:r>
        <w:rPr>
          <w:rFonts w:hint="eastAsia"/>
        </w:rPr>
        <w:t>6.1风险评估原则</w:t>
      </w:r>
    </w:p>
    <w:p>
      <w:pPr>
        <w:ind w:firstLine="560"/>
      </w:pPr>
      <w:r>
        <w:rPr>
          <w:rFonts w:hint="eastAsia"/>
        </w:rPr>
        <w:t>6.1.1按照风险评估程序对化妆品原料和其可能存在的风险物质进行风险评估，保障原料使用的安全性。</w:t>
      </w:r>
    </w:p>
    <w:p>
      <w:pPr>
        <w:ind w:firstLine="560"/>
      </w:pPr>
      <w:r>
        <w:t>6.1.2</w:t>
      </w:r>
      <w:r>
        <w:rPr>
          <w:rFonts w:hint="eastAsia"/>
        </w:rPr>
        <w:t>使用《规范》中的限用组分、准用防腐剂、准用防晒剂、准用着色剂和准用染发剂列表中的原料应满足规范要求。</w:t>
      </w:r>
    </w:p>
    <w:p>
      <w:pPr>
        <w:ind w:firstLine="560"/>
      </w:pPr>
      <w:r>
        <w:rPr>
          <w:rFonts w:hint="eastAsia"/>
        </w:rPr>
        <w:t>6.1.3 凡国际权威化妆品安全评估机构已公布评估结论的原料，需对相关评估资料进行分析，在符合我国化妆品相关法规规定的情况下，可采用相关评估结论。如不同的权威机构评估结果不一致时，根据数据的可靠性和相关性，科学合理的采用相关评估结论。</w:t>
      </w:r>
    </w:p>
    <w:p>
      <w:pPr>
        <w:ind w:firstLine="560"/>
      </w:pPr>
      <w:r>
        <w:rPr>
          <w:rFonts w:hint="eastAsia"/>
        </w:rPr>
        <w:t>6.1.4凡世界卫生组织（WHO）、联合国粮农组织（FAO）、经济合作与发展组织（OECD）等权威机构已公布安全限量（如：每日允许摄入量(</w:t>
      </w:r>
      <w:r>
        <w:t>Acceptable Daily Intake</w:t>
      </w:r>
      <w:r>
        <w:rPr>
          <w:rFonts w:hint="eastAsia"/>
        </w:rPr>
        <w:t>,ADI)、每日耐受剂量(Tolerable Daily Intake，TDI)、参考剂量(Reference Dose，RfD)等）或结论（如一般认为安全物质(</w:t>
      </w:r>
      <w:r>
        <w:t>GRAS</w:t>
      </w:r>
      <w:r>
        <w:rPr>
          <w:rFonts w:hint="eastAsia"/>
        </w:rPr>
        <w:t>)、具有悠久食用历史）的原料，需对相关资料进行分析，在符合我国化妆品相关法规规定的情况下，可采用相关结论。如缺少局部毒性资料，需对其局部毒性另行进行风险评估。如不同的权威机构评估结果不一致时，根据数据的可靠性和相关性，科学合理的采用相关评估结论。</w:t>
      </w:r>
    </w:p>
    <w:p>
      <w:pPr>
        <w:ind w:firstLine="560"/>
      </w:pPr>
      <w:r>
        <w:t>6.1.5</w:t>
      </w:r>
      <w:r>
        <w:rPr>
          <w:rFonts w:hint="eastAsia"/>
        </w:rPr>
        <w:t>如</w:t>
      </w:r>
      <w:r>
        <w:t>香精符合国际日用香</w:t>
      </w:r>
      <w:r>
        <w:rPr>
          <w:rFonts w:hint="eastAsia"/>
        </w:rPr>
        <w:t>料协会（</w:t>
      </w:r>
      <w:r>
        <w:t>IFRA）标准，需对</w:t>
      </w:r>
      <w:r>
        <w:rPr>
          <w:rFonts w:hint="eastAsia"/>
        </w:rPr>
        <w:t>相关</w:t>
      </w:r>
      <w:r>
        <w:t>评估资料进行分析，在符合我国化妆品相关法规规定的情况下，可采用相关</w:t>
      </w:r>
      <w:r>
        <w:rPr>
          <w:rFonts w:hint="eastAsia"/>
        </w:rPr>
        <w:t>评估</w:t>
      </w:r>
      <w:r>
        <w:t>结论。</w:t>
      </w:r>
    </w:p>
    <w:p>
      <w:pPr>
        <w:ind w:firstLine="560"/>
      </w:pPr>
      <w:r>
        <w:t>6.1.6</w:t>
      </w:r>
      <w:r>
        <w:rPr>
          <w:rFonts w:hint="eastAsia"/>
        </w:rPr>
        <w:t>对于化学结构明确，且不包含致癌警告结构的原料或风险物质，含量较低且缺乏系统毒理学研究数据时，可参考使用</w:t>
      </w:r>
      <w:r>
        <w:t>毒理学关注阈值（</w:t>
      </w:r>
      <w:r>
        <w:rPr>
          <w:rFonts w:hint="eastAsia"/>
        </w:rPr>
        <w:t>Threshold of Toxicological Concern，</w:t>
      </w:r>
      <w:r>
        <w:t>TTC）</w:t>
      </w:r>
      <w:r>
        <w:rPr>
          <w:rFonts w:hint="eastAsia"/>
        </w:rPr>
        <w:t>等方法进行风险评价，但该方法不适用于金属或金属化合物、强致癌物（如黄曲霉毒素、亚硝基化合物、联苯胺类和肼等）、蛋白质、类固醇、高分子质量的物质、有很强生物蓄积性物质以及放射性化学物质和化学结构未知的化学混合物等。</w:t>
      </w:r>
    </w:p>
    <w:p>
      <w:pPr>
        <w:ind w:firstLine="560"/>
      </w:pPr>
      <w:r>
        <w:t xml:space="preserve">6.1.7 </w:t>
      </w:r>
      <w:r>
        <w:rPr>
          <w:rFonts w:hint="eastAsia"/>
        </w:rPr>
        <w:t>对于缺乏系统毒理学研究数据的非功效成分或风险物质，可参考使用分组</w:t>
      </w:r>
      <w:r>
        <w:t>/交叉参照</w:t>
      </w:r>
      <w:r>
        <w:rPr>
          <w:rFonts w:hint="eastAsia"/>
        </w:rPr>
        <w:t>（</w:t>
      </w:r>
      <w:r>
        <w:t>Grouping/Read Across）</w:t>
      </w:r>
      <w:r>
        <w:rPr>
          <w:rFonts w:hint="eastAsia"/>
        </w:rPr>
        <w:t>进行风险评估。所参照的化学物与该原料或风险物质有相似的化学结构，相同的代谢途径和化学</w:t>
      </w:r>
      <w:r>
        <w:t>/生物反应性</w:t>
      </w:r>
      <w:r>
        <w:rPr>
          <w:rFonts w:hint="eastAsia"/>
        </w:rPr>
        <w:t>，其中结构相似性表现在：①各化学物质具有相同的官能团（如醛类、环氧化物、酯类、特殊金属离子物质）；②各化学物质具有相同的组分或被归为相同的危害级别，具有相似的碳链长度；③各化学物质在结构上（如碳链长度）呈现递增或保持不变的特征，这种特征可以通过观察各化学物质的理化特性得到；④各化学物质由于结构的相似性，通过化学物质或生物作用后，具有相同的前驱体或降解产物可能性。</w:t>
      </w:r>
    </w:p>
    <w:p>
      <w:pPr>
        <w:ind w:firstLine="560"/>
      </w:pPr>
      <w:r>
        <w:t>6.1.</w:t>
      </w:r>
      <w:r>
        <w:rPr>
          <w:rFonts w:hint="eastAsia"/>
        </w:rPr>
        <w:t>8根据原料理化特性、定量构效关系、毒理学资料、使用历史、临床研究、人群流行病学调查以及类似化合物的毒性等资料情况，可增加或减免毒理学终点的评估。</w:t>
      </w:r>
    </w:p>
    <w:p>
      <w:pPr>
        <w:pStyle w:val="3"/>
        <w:ind w:firstLine="562"/>
      </w:pPr>
      <w:r>
        <w:rPr>
          <w:rFonts w:hint="eastAsia"/>
        </w:rPr>
        <w:t>6.2化妆品原料的理化性质</w:t>
      </w:r>
    </w:p>
    <w:p>
      <w:pPr>
        <w:ind w:firstLine="560"/>
      </w:pPr>
      <w:r>
        <w:rPr>
          <w:rFonts w:hint="eastAsia"/>
        </w:rPr>
        <w:t>原料的理化性质可用于预测特定的毒理学特性。根据产品配方，逐一掌握所用原料的理化性质信息。一般包括以下内容：</w:t>
      </w:r>
    </w:p>
    <w:p>
      <w:pPr>
        <w:ind w:firstLine="560"/>
      </w:pPr>
      <w:r>
        <w:rPr>
          <w:rFonts w:hint="eastAsia"/>
        </w:rPr>
        <w:t>6.2.1原料的名称</w:t>
      </w:r>
    </w:p>
    <w:p>
      <w:pPr>
        <w:ind w:firstLine="560"/>
      </w:pPr>
      <w:r>
        <w:rPr>
          <w:rFonts w:hint="eastAsia"/>
        </w:rPr>
        <w:t>包括通用名称、商品名称、INCI名称、标准中文名称、CAS号、EINCES号等。</w:t>
      </w:r>
    </w:p>
    <w:p>
      <w:pPr>
        <w:ind w:firstLine="560"/>
      </w:pPr>
      <w:r>
        <w:rPr>
          <w:rFonts w:hint="eastAsia"/>
        </w:rPr>
        <w:t>6.2.2物理状态</w:t>
      </w:r>
    </w:p>
    <w:p>
      <w:pPr>
        <w:ind w:firstLine="560"/>
      </w:pPr>
      <w:r>
        <w:rPr>
          <w:rFonts w:hint="eastAsia"/>
        </w:rPr>
        <w:t>如固体、液体、挥发性气体等。</w:t>
      </w:r>
    </w:p>
    <w:p>
      <w:pPr>
        <w:ind w:firstLine="560"/>
      </w:pPr>
      <w:r>
        <w:rPr>
          <w:rFonts w:hint="eastAsia"/>
        </w:rPr>
        <w:t>6.2.3分子结构式和相对分子量</w:t>
      </w:r>
    </w:p>
    <w:p>
      <w:pPr>
        <w:ind w:firstLine="560"/>
      </w:pPr>
      <w:r>
        <w:rPr>
          <w:rFonts w:hint="eastAsia"/>
        </w:rPr>
        <w:t>对于复配原料，必须说明每个组成成分的分子结构式和相对分子量。</w:t>
      </w:r>
    </w:p>
    <w:p>
      <w:pPr>
        <w:ind w:firstLine="560"/>
      </w:pPr>
      <w:r>
        <w:rPr>
          <w:rFonts w:hint="eastAsia"/>
        </w:rPr>
        <w:t>6.2.4化学特性和纯度</w:t>
      </w:r>
    </w:p>
    <w:p>
      <w:pPr>
        <w:ind w:firstLine="560"/>
      </w:pPr>
      <w:r>
        <w:rPr>
          <w:rFonts w:hint="eastAsia"/>
        </w:rPr>
        <w:t>应说明表征化学特性时使用的技术条件（紫外光谱或红外光谱、核磁、质谱、元素分析等）以及检测结果等。</w:t>
      </w:r>
    </w:p>
    <w:p>
      <w:pPr>
        <w:ind w:firstLine="560"/>
      </w:pPr>
      <w:r>
        <w:rPr>
          <w:rFonts w:hint="eastAsia"/>
        </w:rPr>
        <w:t>应明确原料的纯度以及测定方法，并验证分析方法的有效性。</w:t>
      </w:r>
    </w:p>
    <w:p>
      <w:pPr>
        <w:ind w:firstLine="560"/>
      </w:pPr>
      <w:r>
        <w:rPr>
          <w:rFonts w:hint="eastAsia"/>
        </w:rPr>
        <w:t>在理化试验和毒性试验中使用的原料必须与终产品中使用的原料质量规格相同。</w:t>
      </w:r>
    </w:p>
    <w:p>
      <w:pPr>
        <w:ind w:firstLine="560"/>
      </w:pPr>
      <w:r>
        <w:rPr>
          <w:rFonts w:hint="eastAsia"/>
        </w:rPr>
        <w:t>6.2.5杂质/残留物</w:t>
      </w:r>
    </w:p>
    <w:p>
      <w:pPr>
        <w:ind w:firstLine="560"/>
      </w:pPr>
      <w:r>
        <w:rPr>
          <w:rFonts w:hint="eastAsia"/>
        </w:rPr>
        <w:t>除了物质的纯度以外，还必须说明可能存在的杂质/残留物的浓度或含量。</w:t>
      </w:r>
    </w:p>
    <w:p>
      <w:pPr>
        <w:ind w:firstLine="560"/>
      </w:pPr>
      <w:r>
        <w:rPr>
          <w:rFonts w:hint="eastAsia"/>
        </w:rPr>
        <w:t>6.2.6溶解度</w:t>
      </w:r>
    </w:p>
    <w:p>
      <w:pPr>
        <w:ind w:firstLine="560"/>
      </w:pPr>
      <w:r>
        <w:rPr>
          <w:rFonts w:hint="eastAsia"/>
        </w:rPr>
        <w:t>应说明原料在水中和/或任何其他相关有机溶剂的溶解度。</w:t>
      </w:r>
    </w:p>
    <w:p>
      <w:pPr>
        <w:ind w:firstLine="560"/>
      </w:pPr>
      <w:r>
        <w:rPr>
          <w:rFonts w:hint="eastAsia"/>
        </w:rPr>
        <w:t>6.2.7分配系数（Log Pow）</w:t>
      </w:r>
    </w:p>
    <w:p>
      <w:pPr>
        <w:ind w:firstLine="560"/>
      </w:pPr>
      <w:r>
        <w:rPr>
          <w:rFonts w:hint="eastAsia"/>
        </w:rPr>
        <w:t>应说明分配系数。对于其计算值，应说明计算方法。</w:t>
      </w:r>
    </w:p>
    <w:p>
      <w:pPr>
        <w:ind w:firstLine="560"/>
      </w:pPr>
      <w:r>
        <w:rPr>
          <w:rFonts w:hint="eastAsia"/>
        </w:rPr>
        <w:t>6.2.8其他相关的理化指标</w:t>
      </w:r>
    </w:p>
    <w:p>
      <w:pPr>
        <w:ind w:firstLine="560"/>
      </w:pPr>
      <w:r>
        <w:rPr>
          <w:rFonts w:hint="eastAsia"/>
        </w:rPr>
        <w:t>如对于可吸收紫外线的成分，应说明化合物的紫外线吸收的波长及紫外线吸收光谱。</w:t>
      </w:r>
    </w:p>
    <w:p>
      <w:pPr>
        <w:ind w:firstLine="560"/>
      </w:pPr>
      <w:r>
        <w:rPr>
          <w:rFonts w:hint="eastAsia"/>
        </w:rPr>
        <w:t>6.2.9均质性和稳定性</w:t>
      </w:r>
    </w:p>
    <w:p>
      <w:pPr>
        <w:ind w:firstLine="560"/>
      </w:pPr>
      <w:r>
        <w:rPr>
          <w:rFonts w:hint="eastAsia"/>
        </w:rPr>
        <w:t>应说明试验条件下检测原料时使用的试验溶液的均质性。</w:t>
      </w:r>
    </w:p>
    <w:p>
      <w:pPr>
        <w:ind w:firstLine="560"/>
      </w:pPr>
      <w:r>
        <w:rPr>
          <w:rFonts w:hint="eastAsia"/>
        </w:rPr>
        <w:t>应说明试验条件下原料的稳定性和储存条件。</w:t>
      </w:r>
    </w:p>
    <w:p>
      <w:pPr>
        <w:ind w:firstLine="560"/>
      </w:pPr>
      <w:r>
        <w:rPr>
          <w:rFonts w:hint="eastAsia"/>
        </w:rPr>
        <w:t>6</w:t>
      </w:r>
      <w:r>
        <w:t>.2.1</w:t>
      </w:r>
      <w:r>
        <w:rPr>
          <w:rFonts w:hint="eastAsia"/>
        </w:rPr>
        <w:t>0</w:t>
      </w:r>
      <w:r>
        <w:t xml:space="preserve"> UV-VIS吸收光谱</w:t>
      </w:r>
    </w:p>
    <w:p>
      <w:pPr>
        <w:ind w:firstLine="560"/>
      </w:pPr>
      <w:r>
        <w:rPr>
          <w:rFonts w:hint="eastAsia"/>
        </w:rPr>
        <w:t>基于原料的结构，应提供</w:t>
      </w:r>
      <w:r>
        <w:t>UV-VIS吸收光谱。</w:t>
      </w:r>
    </w:p>
    <w:p>
      <w:pPr>
        <w:ind w:firstLine="560"/>
      </w:pPr>
      <w:r>
        <w:rPr>
          <w:rFonts w:hint="eastAsia"/>
        </w:rPr>
        <w:t>6.2.11异构体组成</w:t>
      </w:r>
    </w:p>
    <w:p>
      <w:pPr>
        <w:ind w:firstLine="560"/>
      </w:pPr>
      <w:r>
        <w:rPr>
          <w:rFonts w:hint="eastAsia"/>
        </w:rPr>
        <w:t>原料存在异构体时，各相关异构体也应进行风险评估。</w:t>
      </w:r>
    </w:p>
    <w:p>
      <w:pPr>
        <w:ind w:firstLine="560"/>
      </w:pPr>
      <w:r>
        <w:rPr>
          <w:rFonts w:hint="eastAsia"/>
        </w:rPr>
        <w:t>6.2.12功能和用途</w:t>
      </w:r>
    </w:p>
    <w:p>
      <w:pPr>
        <w:ind w:firstLine="560"/>
      </w:pPr>
      <w:r>
        <w:rPr>
          <w:rFonts w:hint="eastAsia"/>
        </w:rPr>
        <w:t>该原料拟用或已用于化妆品中的使用目的、化妆品中的最高浓度等。如果化妆品原料用于喷雾产品，应该明确提及吸入暴露的可能，并且应考虑吸入暴露的健康危害效应。</w:t>
      </w:r>
    </w:p>
    <w:p>
      <w:pPr>
        <w:ind w:firstLine="560"/>
      </w:pPr>
      <w:r>
        <w:rPr>
          <w:rFonts w:hint="eastAsia"/>
        </w:rPr>
        <w:t>此外，此原料作为其他用途（例如消费产品，工业产品）时，所用浓度也应尽可能描述。</w:t>
      </w:r>
    </w:p>
    <w:p>
      <w:pPr>
        <w:pStyle w:val="3"/>
        <w:ind w:firstLine="562"/>
      </w:pPr>
      <w:r>
        <w:rPr>
          <w:rFonts w:hint="eastAsia"/>
        </w:rPr>
        <w:t>6.3矿物、动物、植物、生物技术来源的原料</w:t>
      </w:r>
    </w:p>
    <w:p>
      <w:pPr>
        <w:ind w:firstLine="560"/>
      </w:pPr>
      <w:r>
        <w:rPr>
          <w:rFonts w:hint="eastAsia"/>
        </w:rPr>
        <w:t>6.3.1.矿物来源的原料，应包括以下内容：</w:t>
      </w:r>
    </w:p>
    <w:p>
      <w:pPr>
        <w:ind w:firstLine="560"/>
      </w:pPr>
      <w:r>
        <w:rPr>
          <w:rFonts w:hint="eastAsia"/>
        </w:rPr>
        <w:t>(1)原料来源；</w:t>
      </w:r>
    </w:p>
    <w:p>
      <w:pPr>
        <w:ind w:firstLine="560"/>
      </w:pPr>
      <w:r>
        <w:rPr>
          <w:rFonts w:hint="eastAsia"/>
        </w:rPr>
        <w:t xml:space="preserve">(2)制备工艺：物理加工、化学修饰、纯化方法及净化方法等； </w:t>
      </w:r>
    </w:p>
    <w:p>
      <w:pPr>
        <w:ind w:firstLine="560"/>
      </w:pPr>
      <w:r>
        <w:rPr>
          <w:rFonts w:hint="eastAsia"/>
        </w:rPr>
        <w:t>(3)特征性组成要素：特征性成分（％）；</w:t>
      </w:r>
    </w:p>
    <w:p>
      <w:pPr>
        <w:ind w:firstLine="560"/>
      </w:pPr>
      <w:r>
        <w:rPr>
          <w:rFonts w:hint="eastAsia"/>
        </w:rPr>
        <w:t>(4)组成成分的理化特性；</w:t>
      </w:r>
    </w:p>
    <w:p>
      <w:pPr>
        <w:ind w:firstLine="560"/>
      </w:pPr>
      <w:r>
        <w:rPr>
          <w:rFonts w:hint="eastAsia"/>
        </w:rPr>
        <w:t>(5)微生物情况；</w:t>
      </w:r>
    </w:p>
    <w:p>
      <w:pPr>
        <w:ind w:firstLine="560"/>
      </w:pPr>
      <w:r>
        <w:rPr>
          <w:rFonts w:hint="eastAsia"/>
        </w:rPr>
        <w:t>(6)防腐剂和</w:t>
      </w:r>
      <w:r>
        <w:t>/或其它添加剂</w:t>
      </w:r>
      <w:r>
        <w:rPr>
          <w:rFonts w:hint="eastAsia"/>
        </w:rPr>
        <w:t>。</w:t>
      </w:r>
    </w:p>
    <w:p>
      <w:pPr>
        <w:ind w:firstLine="560"/>
      </w:pPr>
      <w:r>
        <w:rPr>
          <w:rFonts w:hint="eastAsia"/>
        </w:rPr>
        <w:t>6.3.2 动物来源的原料，应包括以下内容：</w:t>
      </w:r>
    </w:p>
    <w:p>
      <w:pPr>
        <w:ind w:firstLine="560"/>
      </w:pPr>
      <w:r>
        <w:rPr>
          <w:rFonts w:hint="eastAsia"/>
        </w:rPr>
        <w:t>(1) 物种来源（牛、羊、甲壳动物等）、物种通用名称、种属名称包括物种、属、科及使用的器官组织（胎盘、血清、软骨等）；</w:t>
      </w:r>
    </w:p>
    <w:p>
      <w:pPr>
        <w:ind w:firstLine="560"/>
      </w:pPr>
      <w:r>
        <w:rPr>
          <w:rFonts w:hint="eastAsia"/>
        </w:rPr>
        <w:t>(2)原产国；</w:t>
      </w:r>
    </w:p>
    <w:p>
      <w:pPr>
        <w:ind w:firstLine="560"/>
      </w:pPr>
      <w:r>
        <w:rPr>
          <w:rFonts w:hint="eastAsia"/>
        </w:rPr>
        <w:t>(3)制备过程：萃取条件、水解类型、纯化方法等；</w:t>
      </w:r>
    </w:p>
    <w:p>
      <w:pPr>
        <w:ind w:firstLine="560"/>
      </w:pPr>
      <w:r>
        <w:rPr>
          <w:rFonts w:hint="eastAsia"/>
        </w:rPr>
        <w:t>(4)特征性成分含量；</w:t>
      </w:r>
    </w:p>
    <w:p>
      <w:pPr>
        <w:ind w:firstLine="560"/>
      </w:pPr>
      <w:r>
        <w:rPr>
          <w:rFonts w:hint="eastAsia"/>
        </w:rPr>
        <w:t>(5)形态：粉末、溶液、悬浮液等;</w:t>
      </w:r>
    </w:p>
    <w:p>
      <w:pPr>
        <w:ind w:firstLine="560"/>
      </w:pPr>
      <w:r>
        <w:rPr>
          <w:rFonts w:hint="eastAsia"/>
        </w:rPr>
        <w:t>(6)特征性组成要素：特征性的氨基酸、总氮、多糖等;</w:t>
      </w:r>
    </w:p>
    <w:p>
      <w:pPr>
        <w:ind w:firstLine="560"/>
      </w:pPr>
      <w:r>
        <w:rPr>
          <w:rFonts w:hint="eastAsia"/>
        </w:rPr>
        <w:t>(7)理化特性;</w:t>
      </w:r>
    </w:p>
    <w:p>
      <w:pPr>
        <w:ind w:firstLine="560"/>
      </w:pPr>
      <w:r>
        <w:rPr>
          <w:rFonts w:hint="eastAsia"/>
        </w:rPr>
        <w:t>(8)微生物情况（包括病毒性污染）;</w:t>
      </w:r>
    </w:p>
    <w:p>
      <w:pPr>
        <w:ind w:firstLine="560"/>
      </w:pPr>
      <w:r>
        <w:rPr>
          <w:rFonts w:hint="eastAsia"/>
        </w:rPr>
        <w:t>(9)防腐剂和/或其它添加剂。</w:t>
      </w:r>
    </w:p>
    <w:p>
      <w:pPr>
        <w:ind w:firstLine="560"/>
      </w:pPr>
      <w:r>
        <w:rPr>
          <w:rFonts w:hint="eastAsia"/>
        </w:rPr>
        <w:t>6.3.3植物来源的原料, 应包括以下信息：</w:t>
      </w:r>
    </w:p>
    <w:p>
      <w:pPr>
        <w:ind w:firstLine="560"/>
      </w:pPr>
      <w:r>
        <w:rPr>
          <w:rFonts w:hint="eastAsia"/>
        </w:rPr>
        <w:t>(1)植物的通用名称；</w:t>
      </w:r>
    </w:p>
    <w:p>
      <w:pPr>
        <w:ind w:firstLine="560"/>
      </w:pPr>
      <w:r>
        <w:rPr>
          <w:rFonts w:hint="eastAsia"/>
        </w:rPr>
        <w:t>(2)种属名称包括物种、属、科；</w:t>
      </w:r>
    </w:p>
    <w:p>
      <w:pPr>
        <w:ind w:firstLine="560"/>
      </w:pPr>
      <w:r>
        <w:rPr>
          <w:rFonts w:hint="eastAsia"/>
        </w:rPr>
        <w:t>(3)所用植物的部分；</w:t>
      </w:r>
    </w:p>
    <w:p>
      <w:pPr>
        <w:ind w:firstLine="560"/>
      </w:pPr>
      <w:r>
        <w:rPr>
          <w:rFonts w:hint="eastAsia"/>
        </w:rPr>
        <w:t>(4)感官描述：粉末、液态、色彩、气味等；</w:t>
      </w:r>
    </w:p>
    <w:p>
      <w:pPr>
        <w:ind w:firstLine="560"/>
      </w:pPr>
      <w:r>
        <w:rPr>
          <w:rFonts w:hint="eastAsia"/>
        </w:rPr>
        <w:t>(5)形态解剖学描述；</w:t>
      </w:r>
    </w:p>
    <w:p>
      <w:pPr>
        <w:ind w:firstLine="560"/>
      </w:pPr>
      <w:r>
        <w:rPr>
          <w:rFonts w:hint="eastAsia"/>
        </w:rPr>
        <w:t>(6)自然生态和地理分布；</w:t>
      </w:r>
    </w:p>
    <w:p>
      <w:pPr>
        <w:ind w:firstLine="560"/>
      </w:pPr>
      <w:r>
        <w:rPr>
          <w:rFonts w:hint="eastAsia"/>
        </w:rPr>
        <w:t>(7)植物的来源包括地理来源以及是否栽培或野生；</w:t>
      </w:r>
    </w:p>
    <w:p>
      <w:pPr>
        <w:ind w:firstLine="560"/>
      </w:pPr>
      <w:r>
        <w:rPr>
          <w:rFonts w:hint="eastAsia"/>
        </w:rPr>
        <w:t>(8)具体制备过程：收集、洗涤、干燥、萃取等；</w:t>
      </w:r>
    </w:p>
    <w:p>
      <w:pPr>
        <w:ind w:firstLine="560"/>
      </w:pPr>
      <w:r>
        <w:rPr>
          <w:rFonts w:hint="eastAsia"/>
        </w:rPr>
        <w:t>(9)储存条件；</w:t>
      </w:r>
    </w:p>
    <w:p>
      <w:pPr>
        <w:ind w:firstLine="560"/>
      </w:pPr>
      <w:r>
        <w:rPr>
          <w:rFonts w:hint="eastAsia"/>
        </w:rPr>
        <w:t>(10)特征性组成要素：特征性成分；</w:t>
      </w:r>
    </w:p>
    <w:p>
      <w:pPr>
        <w:ind w:firstLine="560"/>
      </w:pPr>
      <w:r>
        <w:rPr>
          <w:rFonts w:hint="eastAsia"/>
        </w:rPr>
        <w:t>(11)理化特性；</w:t>
      </w:r>
    </w:p>
    <w:p>
      <w:pPr>
        <w:ind w:firstLine="560"/>
      </w:pPr>
      <w:r>
        <w:rPr>
          <w:rFonts w:hint="eastAsia"/>
        </w:rPr>
        <w:t>(12)微生物情况包括真菌感染；</w:t>
      </w:r>
    </w:p>
    <w:p>
      <w:pPr>
        <w:ind w:firstLine="560"/>
      </w:pPr>
      <w:r>
        <w:rPr>
          <w:rFonts w:hint="eastAsia"/>
        </w:rPr>
        <w:t>(13)农药、重金属残留等；</w:t>
      </w:r>
    </w:p>
    <w:p>
      <w:pPr>
        <w:ind w:firstLine="560"/>
      </w:pPr>
      <w:r>
        <w:rPr>
          <w:rFonts w:hint="eastAsia"/>
        </w:rPr>
        <w:t>(14)防腐剂和/或其它添加剂；</w:t>
      </w:r>
    </w:p>
    <w:p>
      <w:pPr>
        <w:ind w:firstLine="560"/>
      </w:pPr>
      <w:r>
        <w:rPr>
          <w:rFonts w:hint="eastAsia"/>
        </w:rPr>
        <w:t>(15)如果是提取液，应说明包含的溶剂和有效成分的含量。</w:t>
      </w:r>
    </w:p>
    <w:p>
      <w:pPr>
        <w:ind w:firstLine="560"/>
      </w:pPr>
      <w:r>
        <w:t xml:space="preserve">6.3.4 </w:t>
      </w:r>
      <w:r>
        <w:rPr>
          <w:rFonts w:hint="eastAsia"/>
        </w:rPr>
        <w:t>生物技术来源的原料，应包括以下内容：</w:t>
      </w:r>
    </w:p>
    <w:p>
      <w:pPr>
        <w:ind w:firstLine="560"/>
      </w:pPr>
      <w:r>
        <w:rPr>
          <w:rFonts w:hint="eastAsia"/>
        </w:rPr>
        <w:t>(1)制备过程；</w:t>
      </w:r>
    </w:p>
    <w:p>
      <w:pPr>
        <w:ind w:firstLine="560"/>
      </w:pPr>
      <w:r>
        <w:rPr>
          <w:rFonts w:hint="eastAsia"/>
        </w:rPr>
        <w:t>(2)所用的生物描述：供体生物、受体生物、修饰微生物；</w:t>
      </w:r>
    </w:p>
    <w:p>
      <w:pPr>
        <w:ind w:firstLine="560"/>
      </w:pPr>
      <w:r>
        <w:rPr>
          <w:rFonts w:hint="eastAsia"/>
        </w:rPr>
        <w:t>(3)宿主致病性；</w:t>
      </w:r>
    </w:p>
    <w:p>
      <w:pPr>
        <w:ind w:firstLine="560"/>
      </w:pPr>
      <w:r>
        <w:rPr>
          <w:rFonts w:hint="eastAsia"/>
        </w:rPr>
        <w:t>(4)毒性成分包括生物代谢物、产生的毒素等；</w:t>
      </w:r>
    </w:p>
    <w:p>
      <w:pPr>
        <w:ind w:firstLine="560"/>
      </w:pPr>
      <w:r>
        <w:rPr>
          <w:rFonts w:hint="eastAsia"/>
        </w:rPr>
        <w:t>(5)理化特性；</w:t>
      </w:r>
    </w:p>
    <w:p>
      <w:pPr>
        <w:ind w:firstLine="560"/>
      </w:pPr>
      <w:r>
        <w:rPr>
          <w:rFonts w:hint="eastAsia"/>
        </w:rPr>
        <w:t>(6)微生物质量控制措施；</w:t>
      </w:r>
    </w:p>
    <w:p>
      <w:pPr>
        <w:ind w:firstLine="560"/>
      </w:pPr>
      <w:r>
        <w:rPr>
          <w:rFonts w:hint="eastAsia"/>
        </w:rPr>
        <w:t>(7)防腐剂和/或其它添加剂。</w:t>
      </w:r>
    </w:p>
    <w:p>
      <w:pPr>
        <w:ind w:firstLine="560"/>
      </w:pPr>
      <w:r>
        <w:rPr>
          <w:rFonts w:hint="eastAsia"/>
        </w:rPr>
        <w:t>对于特殊生物技术来源的原料，其中经修饰的微生物或潜在的毒性物质不能彻底去除的，需提供数据予以说明。</w:t>
      </w:r>
    </w:p>
    <w:p>
      <w:pPr>
        <w:pStyle w:val="3"/>
        <w:ind w:firstLine="562"/>
      </w:pPr>
      <w:r>
        <w:t>6.4 香精香料</w:t>
      </w:r>
    </w:p>
    <w:p>
      <w:pPr>
        <w:ind w:firstLine="560"/>
      </w:pPr>
      <w:r>
        <w:rPr>
          <w:rFonts w:hint="eastAsia"/>
        </w:rPr>
        <w:t>香精香料应符合我国相关国家标准或国际日用香料协会（</w:t>
      </w:r>
      <w:r>
        <w:t>IFRA）标准</w:t>
      </w:r>
      <w:r>
        <w:rPr>
          <w:rFonts w:hint="eastAsia"/>
        </w:rPr>
        <w:t>，此外，还应包括以下内容：</w:t>
      </w:r>
    </w:p>
    <w:p>
      <w:pPr>
        <w:ind w:firstLine="560"/>
      </w:pPr>
      <w:r>
        <w:t>6.4.1</w:t>
      </w:r>
      <w:r>
        <w:rPr>
          <w:rFonts w:hint="eastAsia"/>
        </w:rPr>
        <w:t>天然来源的成分</w:t>
      </w:r>
      <w:r>
        <w:t>在香料</w:t>
      </w:r>
      <w:r>
        <w:rPr>
          <w:rFonts w:hint="eastAsia"/>
        </w:rPr>
        <w:t>混</w:t>
      </w:r>
      <w:r>
        <w:t>合物中的半定量浓度（即，＜0.1％; 0.1％至</w:t>
      </w:r>
      <w:r>
        <w:rPr>
          <w:rFonts w:hint="eastAsia"/>
        </w:rPr>
        <w:t>＜</w:t>
      </w:r>
      <w:r>
        <w:t>1％，1％至＜5％，5％至＜10％，10％至＜20％，20％及以上）</w:t>
      </w:r>
      <w:r>
        <w:rPr>
          <w:rFonts w:hint="eastAsia"/>
        </w:rPr>
        <w:t>。</w:t>
      </w:r>
      <w:r>
        <w:t xml:space="preserve">  </w:t>
      </w:r>
    </w:p>
    <w:p>
      <w:pPr>
        <w:ind w:firstLine="560"/>
      </w:pPr>
      <w:r>
        <w:t>6.4.2对于天然原料，应具有以下信息</w:t>
      </w:r>
    </w:p>
    <w:p>
      <w:pPr>
        <w:ind w:firstLine="560"/>
      </w:pPr>
      <w:r>
        <w:t>(1)该批次天然原料的组分分析；</w:t>
      </w:r>
    </w:p>
    <w:p>
      <w:pPr>
        <w:ind w:firstLine="560"/>
      </w:pPr>
      <w:r>
        <w:t>(2)天然原料中组分的最高含量水平，应考虑</w:t>
      </w:r>
      <w:r>
        <w:rPr>
          <w:rFonts w:hint="eastAsia"/>
        </w:rPr>
        <w:t>到批间差异；</w:t>
      </w:r>
    </w:p>
    <w:p>
      <w:pPr>
        <w:ind w:firstLine="560"/>
      </w:pPr>
      <w:r>
        <w:t>(3)</w:t>
      </w:r>
      <w:r>
        <w:rPr>
          <w:rFonts w:hint="eastAsia"/>
        </w:rPr>
        <w:t>应明确说明使用了最大浓度化合物的化妆品类型。</w:t>
      </w:r>
    </w:p>
    <w:p>
      <w:pPr>
        <w:pStyle w:val="2"/>
        <w:spacing w:before="156" w:after="156"/>
        <w:ind w:firstLine="600"/>
      </w:pPr>
      <w:bookmarkStart w:id="10" w:name="_Toc46753159"/>
      <w:r>
        <w:rPr>
          <w:rFonts w:hint="eastAsia"/>
        </w:rPr>
        <w:t>7.化妆品产品的安全评估</w:t>
      </w:r>
      <w:bookmarkEnd w:id="10"/>
    </w:p>
    <w:p>
      <w:pPr>
        <w:ind w:firstLine="600"/>
        <w:rPr>
          <w:rFonts w:ascii="黑体" w:hAnsi="黑体" w:eastAsia="黑体"/>
          <w:sz w:val="30"/>
          <w:szCs w:val="30"/>
        </w:rPr>
      </w:pPr>
      <w:r>
        <w:rPr>
          <w:rFonts w:hint="eastAsia" w:ascii="黑体" w:hAnsi="黑体" w:eastAsia="黑体"/>
          <w:bCs/>
          <w:sz w:val="30"/>
          <w:szCs w:val="30"/>
        </w:rPr>
        <w:t>7.1评价原则</w:t>
      </w:r>
      <w:r>
        <w:rPr>
          <w:rFonts w:hint="eastAsia" w:ascii="黑体" w:hAnsi="黑体" w:eastAsia="黑体"/>
          <w:sz w:val="30"/>
          <w:szCs w:val="30"/>
        </w:rPr>
        <w:t xml:space="preserve">  </w:t>
      </w:r>
    </w:p>
    <w:p>
      <w:pPr>
        <w:ind w:firstLine="560"/>
      </w:pPr>
      <w:r>
        <w:rPr>
          <w:rFonts w:hint="eastAsia"/>
        </w:rPr>
        <w:t>7.1.1化妆品产品的安全评估应以暴露为导向，结合产品的使用方式、使用部位、使用量、残留等暴露水平，对化妆品产品进行安全评估，以确保产品安全性。</w:t>
      </w:r>
    </w:p>
    <w:p>
      <w:pPr>
        <w:ind w:firstLine="560"/>
      </w:pPr>
      <w:r>
        <w:rPr>
          <w:rFonts w:hint="eastAsia"/>
        </w:rPr>
        <w:t>7.1.2 按照4.风险评估程序对化妆品中的各原料和</w:t>
      </w:r>
      <w:r>
        <w:t>风险物质</w:t>
      </w:r>
      <w:r>
        <w:rPr>
          <w:rFonts w:hint="eastAsia"/>
        </w:rPr>
        <w:t>进行风险评估。使用《规范》中的限用组分、准用防腐剂、准用防晒剂、准用着色剂和准用染发剂列表中的原料、有限制要求的风险物质应满足规范要求;国外权威机构已建立相关限量值或已有相关评估结论的原料和风险物质，可采用其风险评估结论，如不同的权威机构的限量值或评估结果不一致时，根据数据的可靠性和相关性，科学合理的采用相关评估结论。</w:t>
      </w:r>
    </w:p>
    <w:p>
      <w:pPr>
        <w:ind w:firstLine="560"/>
      </w:pPr>
      <w:r>
        <w:rPr>
          <w:rFonts w:hint="eastAsia"/>
        </w:rPr>
        <w:t>7.1.3完成化妆品产品的安全评估后，可以在满足伦理要求的前提下，通过人体皮肤斑贴试验或人体试用试验，进一步排除化妆品产品的皮肤不良反应。</w:t>
      </w:r>
    </w:p>
    <w:p>
      <w:pPr>
        <w:ind w:firstLine="560"/>
      </w:pPr>
      <w:r>
        <w:rPr>
          <w:rFonts w:hint="eastAsia"/>
        </w:rPr>
        <w:t>7.1.4配方相似、种类相同，且系列名称相同产品，在配方之间的差异不影响产品安全性的前提下，可以参考已有的资料和数据，只对调整组分进行评估。</w:t>
      </w:r>
    </w:p>
    <w:p>
      <w:pPr>
        <w:ind w:firstLine="560"/>
      </w:pPr>
      <w:r>
        <w:rPr>
          <w:rFonts w:hint="eastAsia"/>
        </w:rPr>
        <w:t>7.1.5如果产品配方中两种或两种以上的原料，其可能产生系统毒性的作用机制相同，必要时应考虑原料的累积暴露，并进行具体的个案分析。</w:t>
      </w:r>
    </w:p>
    <w:p>
      <w:pPr>
        <w:ind w:firstLine="560"/>
      </w:pPr>
      <w:r>
        <w:rPr>
          <w:rFonts w:hint="eastAsia"/>
        </w:rPr>
        <w:t>7.1.6 如果产品中所含原料还可能来源于除该类化妆品外的其他产品，如：化妆品、食品、环境等时，在计算安全边际时应考虑累积暴露，并进行具体分析。</w:t>
      </w:r>
    </w:p>
    <w:p>
      <w:pPr>
        <w:ind w:firstLine="560"/>
      </w:pPr>
      <w:r>
        <w:rPr>
          <w:rFonts w:hint="eastAsia"/>
        </w:rPr>
        <w:t>7.1.7应针对每个产品编写安全评估报告，妥善保存，及时补充上市后的安全资料。</w:t>
      </w:r>
    </w:p>
    <w:p>
      <w:pPr>
        <w:pStyle w:val="3"/>
        <w:ind w:firstLine="562"/>
      </w:pPr>
      <w:r>
        <w:t>7.2</w:t>
      </w:r>
      <w:r>
        <w:rPr>
          <w:rFonts w:hint="eastAsia"/>
        </w:rPr>
        <w:t>产品理化稳定性评价</w:t>
      </w:r>
    </w:p>
    <w:p>
      <w:pPr>
        <w:ind w:firstLine="560"/>
      </w:pPr>
      <w:r>
        <w:rPr>
          <w:rFonts w:hint="eastAsia"/>
        </w:rPr>
        <w:t>7.2.1对于上市的每个批次的化妆品产品，应结合产品的具体情况评价相关理化指标，一般包括以下参数：</w:t>
      </w:r>
    </w:p>
    <w:p>
      <w:pPr>
        <w:ind w:firstLine="560"/>
      </w:pPr>
      <w:r>
        <w:rPr>
          <w:rFonts w:hint="eastAsia"/>
        </w:rPr>
        <w:t>(1) 物理状态；</w:t>
      </w:r>
    </w:p>
    <w:p>
      <w:pPr>
        <w:ind w:firstLine="560"/>
      </w:pPr>
      <w:r>
        <w:rPr>
          <w:rFonts w:hint="eastAsia"/>
        </w:rPr>
        <w:t>(2) 剂型（乳液、粉等）；</w:t>
      </w:r>
    </w:p>
    <w:p>
      <w:pPr>
        <w:ind w:firstLine="560"/>
      </w:pPr>
      <w:r>
        <w:rPr>
          <w:rFonts w:hint="eastAsia"/>
        </w:rPr>
        <w:t>(3) 感官特性（颜色、气味等）；</w:t>
      </w:r>
    </w:p>
    <w:p>
      <w:pPr>
        <w:ind w:firstLine="560"/>
      </w:pPr>
      <w:r>
        <w:rPr>
          <w:rFonts w:hint="eastAsia"/>
        </w:rPr>
        <w:t>(4) pH值（在...℃条件下）；</w:t>
      </w:r>
    </w:p>
    <w:p>
      <w:pPr>
        <w:ind w:firstLine="560"/>
      </w:pPr>
      <w:r>
        <w:rPr>
          <w:rFonts w:hint="eastAsia"/>
        </w:rPr>
        <w:t>(5) 粘度（在...℃条件下）；</w:t>
      </w:r>
    </w:p>
    <w:p>
      <w:pPr>
        <w:ind w:firstLine="560"/>
      </w:pPr>
      <w:r>
        <w:rPr>
          <w:rFonts w:hint="eastAsia"/>
        </w:rPr>
        <w:t>(6) 根据具体需要的其他方面。</w:t>
      </w:r>
    </w:p>
    <w:p>
      <w:pPr>
        <w:ind w:firstLine="560"/>
      </w:pPr>
      <w:r>
        <w:rPr>
          <w:rFonts w:hint="eastAsia"/>
        </w:rPr>
        <w:t>7.2.2确认原料之间是否存在化学和/或生物学相互作用，并考虑相互作用产生的潜在安全风险。如存在潜在安全风险的，应当结合相关文献研究资料或理化实验数据，进行风险评估。</w:t>
      </w:r>
    </w:p>
    <w:p>
      <w:pPr>
        <w:ind w:firstLine="560"/>
      </w:pPr>
      <w:r>
        <w:rPr>
          <w:rFonts w:hint="eastAsia"/>
        </w:rPr>
        <w:t>7.2.3 对与内容物接触容器或载体的物理稳定性以及与产品的相容性进行风险评估。</w:t>
      </w:r>
    </w:p>
    <w:p>
      <w:pPr>
        <w:ind w:firstLine="560"/>
      </w:pPr>
      <w:r>
        <w:rPr>
          <w:rFonts w:hint="eastAsia"/>
        </w:rPr>
        <w:t>可参考包装或载体供应商的安全资料或安全声明等资料，对容器的稳定性进行风险评估。</w:t>
      </w:r>
    </w:p>
    <w:p>
      <w:pPr>
        <w:ind w:firstLine="560"/>
      </w:pPr>
      <w:r>
        <w:rPr>
          <w:rFonts w:hint="eastAsia"/>
        </w:rPr>
        <w:t>7.2.4 对配方体系近似，包装材质相同的化妆品，可根据已有的资料和实验数据对理化稳定性开展风险评估工作，但需阐明理由，说明情况。</w:t>
      </w:r>
    </w:p>
    <w:p>
      <w:pPr>
        <w:pStyle w:val="3"/>
        <w:ind w:firstLine="562"/>
      </w:pPr>
      <w:r>
        <w:rPr>
          <w:rFonts w:hint="eastAsia"/>
        </w:rPr>
        <w:t>7.3产品微生物学评估</w:t>
      </w:r>
    </w:p>
    <w:p>
      <w:pPr>
        <w:ind w:firstLine="560"/>
      </w:pPr>
      <w:r>
        <w:rPr>
          <w:rFonts w:hint="eastAsia"/>
        </w:rPr>
        <w:t>7.3.1 化妆品微生物污染通常来源于原料带入，产品制备和灌装过程，以及消费者使用环节。儿童用化妆品、眼部/口唇化妆品，应当对微生物污染予以特别关注。</w:t>
      </w:r>
    </w:p>
    <w:p>
      <w:pPr>
        <w:ind w:firstLine="560"/>
      </w:pPr>
      <w:r>
        <w:rPr>
          <w:rFonts w:hint="eastAsia"/>
        </w:rPr>
        <w:t>7.3.2对于正在研发中的化妆品，可按照化妆品防腐效能评价方法操作程序（见附录3）对其防腐体系的有效性进行评价。</w:t>
      </w:r>
    </w:p>
    <w:p>
      <w:pPr>
        <w:ind w:firstLine="560"/>
      </w:pPr>
      <w:r>
        <w:rPr>
          <w:rFonts w:hint="eastAsia"/>
        </w:rPr>
        <w:t>7.3.3 对于防腐体系相同且配方近似的产品，可参考已有的资料和实验数据进行产品安全性评价。根据产品特性，属于不易受微生物污染的产品，如乙醇含量&gt;20％（体积）、以有机溶剂为主、高/低pH值（≥10或≤3）、一次性或包装不能开启等类型的产品，可不进行微生物挑战试验，但化妆品安全性评估人员应就相关情况予以说明。</w:t>
      </w:r>
    </w:p>
    <w:p>
      <w:pPr>
        <w:pStyle w:val="3"/>
        <w:ind w:firstLine="562"/>
      </w:pPr>
      <w:r>
        <w:rPr>
          <w:rFonts w:hint="eastAsia"/>
        </w:rPr>
        <w:t>7.4产品上市后的安全监测</w:t>
      </w:r>
    </w:p>
    <w:p>
      <w:pPr>
        <w:ind w:firstLine="560"/>
      </w:pPr>
      <w:r>
        <w:rPr>
          <w:rFonts w:hint="eastAsia"/>
        </w:rPr>
        <w:t>7.4.1对上市后产品的安全性进行监测、记录和归档。包括正常使用和不当使用时发生的不良反应，消费者投诉以及后续随访等。</w:t>
      </w:r>
    </w:p>
    <w:p>
      <w:pPr>
        <w:ind w:firstLine="560"/>
      </w:pPr>
      <w:r>
        <w:rPr>
          <w:rFonts w:hint="eastAsia"/>
        </w:rPr>
        <w:t>7.4.2如上市产品出现下列情况，需重新评估产品的安全性：</w:t>
      </w:r>
    </w:p>
    <w:p>
      <w:pPr>
        <w:ind w:firstLine="560"/>
      </w:pPr>
      <w:r>
        <w:rPr>
          <w:rFonts w:hint="eastAsia"/>
        </w:rPr>
        <w:t>(1)上市产品所用原料在毒理学上有新的发现，且会影响现有风险评估结果的；</w:t>
      </w:r>
    </w:p>
    <w:p>
      <w:pPr>
        <w:ind w:firstLine="560"/>
      </w:pPr>
      <w:r>
        <w:rPr>
          <w:rFonts w:hint="eastAsia"/>
        </w:rPr>
        <w:t>(2)上市产品的原料质量规格发生足以引起现有风险评估结果变化的；</w:t>
      </w:r>
    </w:p>
    <w:p>
      <w:pPr>
        <w:ind w:firstLine="560"/>
      </w:pPr>
      <w:r>
        <w:rPr>
          <w:rFonts w:hint="eastAsia"/>
        </w:rPr>
        <w:t>(3)上市产品不良反应出现连续、呈明显增加趋势，或出现了严重不良反应的;</w:t>
      </w:r>
    </w:p>
    <w:p>
      <w:pPr>
        <w:ind w:firstLine="560"/>
      </w:pPr>
      <w:r>
        <w:rPr>
          <w:rFonts w:hint="eastAsia"/>
        </w:rPr>
        <w:t>(4)其他影响产品质量安全的情况。</w:t>
      </w:r>
    </w:p>
    <w:p>
      <w:pPr>
        <w:pStyle w:val="3"/>
        <w:ind w:firstLine="562"/>
      </w:pPr>
      <w:r>
        <w:rPr>
          <w:rFonts w:hint="eastAsia"/>
        </w:rPr>
        <w:t>7.5 儿童化妆品评估要求</w:t>
      </w:r>
    </w:p>
    <w:p>
      <w:pPr>
        <w:ind w:firstLine="560"/>
      </w:pPr>
      <w:r>
        <w:rPr>
          <w:rFonts w:hint="eastAsia"/>
        </w:rPr>
        <w:t>7.5.1进行儿童化妆品评估时，在危害识别、暴露量计算等方面，应结合儿童生理特点。</w:t>
      </w:r>
    </w:p>
    <w:p>
      <w:pPr>
        <w:ind w:firstLine="560"/>
      </w:pPr>
      <w:r>
        <w:t>7.5.2应</w:t>
      </w:r>
      <w:r>
        <w:rPr>
          <w:rFonts w:hint="eastAsia"/>
        </w:rPr>
        <w:t>明确其配方设计的原则，并对配方使用原料的必要性进行说明，特别是香精、着色剂、防腐剂及表面活性剂等原料。</w:t>
      </w:r>
    </w:p>
    <w:p>
      <w:pPr>
        <w:ind w:firstLine="560"/>
      </w:pPr>
      <w:r>
        <w:t>7.5.3 原则上不允许使用</w:t>
      </w:r>
      <w:r>
        <w:rPr>
          <w:rFonts w:hint="eastAsia"/>
        </w:rPr>
        <w:t>以祛斑美白、祛痘、脱毛、除臭、去屑、防脱发、染发、烫发为目的的功效成分，如因其他目的使用时，需对其使用的必要性及针对儿童产品使用的安全性进行评价。</w:t>
      </w:r>
    </w:p>
    <w:p>
      <w:pPr>
        <w:ind w:firstLine="560"/>
      </w:pPr>
      <w:r>
        <w:rPr>
          <w:rFonts w:hint="eastAsia"/>
        </w:rPr>
        <w:t>7.5.4应选用有一定安全使用历史的化妆品原料，不鼓励使用基因技术、纳米技术等新技术制备的原料，如无替代原料必须使用时，需说明原因，并针对儿童产品使用的安全性进行评价。</w:t>
      </w:r>
    </w:p>
    <w:p>
      <w:pPr>
        <w:pStyle w:val="2"/>
        <w:spacing w:before="156" w:after="156"/>
        <w:ind w:firstLine="600"/>
      </w:pPr>
      <w:bookmarkStart w:id="11" w:name="_Toc46753160"/>
      <w:r>
        <w:t>8.安全</w:t>
      </w:r>
      <w:r>
        <w:rPr>
          <w:rFonts w:hint="eastAsia"/>
        </w:rPr>
        <w:t>评估报告</w:t>
      </w:r>
      <w:bookmarkEnd w:id="11"/>
    </w:p>
    <w:p>
      <w:pPr>
        <w:pStyle w:val="3"/>
        <w:ind w:firstLine="562"/>
      </w:pPr>
      <w:r>
        <w:rPr>
          <w:rFonts w:hint="eastAsia"/>
        </w:rPr>
        <w:t>8.1化妆品原料的风险评估报告</w:t>
      </w:r>
    </w:p>
    <w:p>
      <w:pPr>
        <w:ind w:firstLine="560"/>
      </w:pPr>
      <w:r>
        <w:rPr>
          <w:rFonts w:hint="eastAsia"/>
        </w:rPr>
        <w:t>化妆品原料的风险评估报告，其通常包括摘要、原料理化性质、风险评估过程、风险评估结果分析、风险控制措施或建议、风险评估结论、证明性资料、评估人员签名及资质证明等内容。</w:t>
      </w:r>
    </w:p>
    <w:p>
      <w:pPr>
        <w:ind w:firstLine="560"/>
      </w:pPr>
      <w:r>
        <w:rPr>
          <w:rFonts w:hint="eastAsia"/>
        </w:rPr>
        <w:t>参考格式详见附录1。</w:t>
      </w:r>
    </w:p>
    <w:p>
      <w:pPr>
        <w:pStyle w:val="3"/>
        <w:ind w:firstLine="562"/>
      </w:pPr>
      <w:r>
        <w:rPr>
          <w:rFonts w:hint="eastAsia"/>
        </w:rPr>
        <w:t>8.2化妆品产品的安全评估报告</w:t>
      </w:r>
    </w:p>
    <w:p>
      <w:pPr>
        <w:ind w:firstLine="560"/>
      </w:pPr>
      <w:r>
        <w:rPr>
          <w:rFonts w:hint="eastAsia"/>
        </w:rPr>
        <w:t>化妆品产品的安全评估报告通常包括安全评估摘要、产品简介、产品配方、配方中各成分的安全评估、可能存在的风险物质评估、风险控制措施或建议、安全评估结论、安全评估人员签名及简历、参考文献和附录等内容。</w:t>
      </w:r>
    </w:p>
    <w:p>
      <w:pPr>
        <w:ind w:firstLine="560"/>
      </w:pPr>
      <w:r>
        <w:rPr>
          <w:rFonts w:hint="eastAsia"/>
        </w:rPr>
        <w:t>参考格式详见附录2。</w:t>
      </w:r>
    </w:p>
    <w:p>
      <w:pPr>
        <w:pStyle w:val="2"/>
        <w:spacing w:before="156" w:after="156"/>
        <w:ind w:firstLine="600"/>
      </w:pPr>
      <w:bookmarkStart w:id="12" w:name="_Toc46753161"/>
      <w:r>
        <w:rPr>
          <w:rFonts w:hint="eastAsia"/>
        </w:rPr>
        <w:t>9．说明</w:t>
      </w:r>
      <w:bookmarkEnd w:id="12"/>
    </w:p>
    <w:p>
      <w:pPr>
        <w:ind w:firstLine="560"/>
      </w:pPr>
      <w:r>
        <w:rPr>
          <w:rFonts w:hint="eastAsia"/>
        </w:rPr>
        <w:t>本导则所列条款为化妆品安全评估中所涉及的全部内容，具体进行产品的评估时，评估人员需参照本导则结合产品的实际情况进行评估。</w:t>
      </w:r>
    </w:p>
    <w:p>
      <w:pPr>
        <w:pStyle w:val="2"/>
        <w:spacing w:before="156" w:after="156"/>
        <w:ind w:firstLine="600"/>
      </w:pPr>
      <w:bookmarkStart w:id="13" w:name="_Toc46753162"/>
      <w:r>
        <w:t>10</w:t>
      </w:r>
      <w:r>
        <w:rPr>
          <w:rFonts w:hint="eastAsia"/>
        </w:rPr>
        <w:t>.术语和释义</w:t>
      </w:r>
      <w:bookmarkEnd w:id="13"/>
    </w:p>
    <w:p>
      <w:pPr>
        <w:ind w:firstLine="560"/>
      </w:pPr>
      <w:r>
        <w:rPr>
          <w:rFonts w:hint="eastAsia"/>
        </w:rPr>
        <w:t>下列术语和释义适用于本导则。</w:t>
      </w:r>
    </w:p>
    <w:p>
      <w:pPr>
        <w:pStyle w:val="3"/>
        <w:ind w:firstLine="562"/>
      </w:pPr>
      <w:r>
        <w:rPr>
          <w:rFonts w:hint="eastAsia"/>
        </w:rPr>
        <w:t>10.1危害（Hazard）</w:t>
      </w:r>
    </w:p>
    <w:p>
      <w:pPr>
        <w:ind w:firstLine="560"/>
      </w:pPr>
      <w:r>
        <w:rPr>
          <w:rFonts w:hint="eastAsia"/>
        </w:rPr>
        <w:t>原料或风险物质在暴露情况下对人体产生不良影响的属性。</w:t>
      </w:r>
    </w:p>
    <w:p>
      <w:pPr>
        <w:pStyle w:val="3"/>
        <w:ind w:firstLine="562"/>
      </w:pPr>
      <w:r>
        <w:rPr>
          <w:rFonts w:hint="eastAsia"/>
        </w:rPr>
        <w:t>10.2风险（Risk）</w:t>
      </w:r>
    </w:p>
    <w:p>
      <w:pPr>
        <w:ind w:firstLine="560"/>
      </w:pPr>
      <w:r>
        <w:rPr>
          <w:rFonts w:hint="eastAsia"/>
        </w:rPr>
        <w:t>暴露条件下，原料或风险物质对使用者产生有害作用的可能性及强度的定量和定性估计。</w:t>
      </w:r>
    </w:p>
    <w:p>
      <w:pPr>
        <w:pStyle w:val="3"/>
        <w:ind w:firstLine="562"/>
      </w:pPr>
      <w:r>
        <w:t>10.3剂量（Dose）</w:t>
      </w:r>
    </w:p>
    <w:p>
      <w:pPr>
        <w:ind w:firstLine="560"/>
      </w:pPr>
      <w:r>
        <w:rPr>
          <w:rFonts w:hint="eastAsia"/>
        </w:rPr>
        <w:t>直接与机体的吸收部位（消化道、粘膜、皮肤等）接触，可供吸收的量，通常以</w:t>
      </w:r>
      <w:r>
        <w:t>mg/kg·bw</w:t>
      </w:r>
      <w:r>
        <w:rPr>
          <w:rFonts w:hint="eastAsia"/>
        </w:rPr>
        <w:t>表示。</w:t>
      </w:r>
    </w:p>
    <w:p>
      <w:pPr>
        <w:pStyle w:val="3"/>
        <w:ind w:firstLine="562"/>
      </w:pPr>
      <w:r>
        <w:rPr>
          <w:rFonts w:hint="eastAsia"/>
        </w:rPr>
        <w:t>10.4未观察到有害作用的剂量（No Observed Adverse Effect Level，</w:t>
      </w:r>
      <w:r>
        <w:t>NO</w:t>
      </w:r>
      <w:r>
        <w:rPr>
          <w:rFonts w:hint="eastAsia"/>
        </w:rPr>
        <w:t>A</w:t>
      </w:r>
      <w:r>
        <w:t>EL</w:t>
      </w:r>
      <w:r>
        <w:rPr>
          <w:rFonts w:hint="eastAsia"/>
        </w:rPr>
        <w:t>）</w:t>
      </w:r>
    </w:p>
    <w:p>
      <w:pPr>
        <w:ind w:firstLine="560"/>
      </w:pPr>
      <w:r>
        <w:rPr>
          <w:rFonts w:hint="eastAsia"/>
        </w:rPr>
        <w:t>在规定的试验条件下，用现有的技术手段或检测指标未观察到任何与受试物有关的毒性作用的最大剂量。</w:t>
      </w:r>
    </w:p>
    <w:p>
      <w:pPr>
        <w:pStyle w:val="3"/>
        <w:ind w:firstLine="562"/>
      </w:pPr>
      <w:r>
        <w:rPr>
          <w:rFonts w:hint="eastAsia"/>
        </w:rPr>
        <w:t>10.5观察到有害作用的最低剂量（Lowest Observed Adverse Effect Level，LOAEL）</w:t>
      </w:r>
    </w:p>
    <w:p>
      <w:pPr>
        <w:ind w:firstLine="560"/>
      </w:pPr>
      <w:r>
        <w:rPr>
          <w:rFonts w:hint="eastAsia"/>
        </w:rPr>
        <w:t>在规定的试验条件下，受试物引起实验动物组织形态、功能、生长发育等有害效应的最低剂量。</w:t>
      </w:r>
    </w:p>
    <w:p>
      <w:pPr>
        <w:pStyle w:val="3"/>
        <w:ind w:firstLine="562"/>
      </w:pPr>
      <w:r>
        <w:rPr>
          <w:rFonts w:hint="eastAsia"/>
        </w:rPr>
        <w:t>10.6基准剂量（Benchmark Dose，BMD）</w:t>
      </w:r>
    </w:p>
    <w:p>
      <w:pPr>
        <w:ind w:firstLine="560"/>
      </w:pPr>
      <w:r>
        <w:rPr>
          <w:rFonts w:hint="eastAsia"/>
        </w:rPr>
        <w:t>一种物质引起某种特定的、较低健康风险发生率（一般在1%～10%之间）的剂量。</w:t>
      </w:r>
    </w:p>
    <w:p>
      <w:pPr>
        <w:pStyle w:val="3"/>
        <w:ind w:firstLine="562"/>
      </w:pPr>
      <w:r>
        <w:rPr>
          <w:rFonts w:hint="eastAsia"/>
        </w:rPr>
        <w:t>10.7有阈值化学物质（Threshold Compounds）</w:t>
      </w:r>
    </w:p>
    <w:p>
      <w:pPr>
        <w:ind w:firstLine="560"/>
      </w:pPr>
      <w:r>
        <w:rPr>
          <w:rFonts w:hint="eastAsia"/>
        </w:rPr>
        <w:t>在一定的暴露剂量以下，对动物或人不发生有害作用的化学物质，包括非致癌物和非遗传毒性的致癌物。</w:t>
      </w:r>
    </w:p>
    <w:p>
      <w:pPr>
        <w:pStyle w:val="3"/>
        <w:ind w:firstLine="562"/>
      </w:pPr>
      <w:r>
        <w:t>10.8无阈值化学物质（Non-Threshold Compounds）</w:t>
      </w:r>
    </w:p>
    <w:p>
      <w:pPr>
        <w:ind w:firstLine="560"/>
      </w:pPr>
      <w:r>
        <w:rPr>
          <w:rFonts w:hint="eastAsia"/>
        </w:rPr>
        <w:t>多为遗传毒性的致癌物，是已知或假设其作用是无阈值的，即已知或假设大于零的所有剂量都可以诱导出有害作用的化合物。</w:t>
      </w:r>
    </w:p>
    <w:p>
      <w:pPr>
        <w:pStyle w:val="3"/>
        <w:ind w:firstLine="562"/>
      </w:pPr>
      <w:r>
        <w:rPr>
          <w:rFonts w:hint="eastAsia"/>
        </w:rPr>
        <w:t>10.9全身暴露量（Systemic Exposure Dosage，SED）</w:t>
      </w:r>
    </w:p>
    <w:p>
      <w:pPr>
        <w:ind w:firstLine="560"/>
      </w:pPr>
      <w:r>
        <w:rPr>
          <w:rFonts w:hint="eastAsia"/>
        </w:rPr>
        <w:t>通过各种暴露途径进入体循环的化学物质的预计量。通常以mg/kg·bw/day表示。</w:t>
      </w:r>
    </w:p>
    <w:p>
      <w:pPr>
        <w:pStyle w:val="3"/>
        <w:ind w:firstLine="562"/>
      </w:pPr>
      <w:r>
        <w:t>10.10安全边际（Margin of Safety，MoS</w:t>
      </w:r>
      <w:r>
        <w:rPr>
          <w:rFonts w:hint="eastAsia"/>
        </w:rPr>
        <w:t>）</w:t>
      </w:r>
    </w:p>
    <w:p>
      <w:pPr>
        <w:ind w:firstLine="560"/>
      </w:pPr>
      <w:r>
        <w:rPr>
          <w:rFonts w:hint="eastAsia"/>
        </w:rPr>
        <w:t>从重复剂量毒性试验得到的</w:t>
      </w:r>
      <w:r>
        <w:t>NOAEL与预期的全身暴露量之间的比值</w:t>
      </w:r>
      <w:r>
        <w:rPr>
          <w:rFonts w:hint="eastAsia"/>
        </w:rPr>
        <w:t>。</w:t>
      </w:r>
    </w:p>
    <w:p>
      <w:pPr>
        <w:pStyle w:val="3"/>
        <w:ind w:firstLine="562"/>
      </w:pPr>
      <w:r>
        <w:rPr>
          <w:rFonts w:hint="eastAsia"/>
        </w:rPr>
        <w:t>10.11致癌的可接受风险度（</w:t>
      </w:r>
      <w:r>
        <w:t>Acceptable Risk</w:t>
      </w:r>
      <w:r>
        <w:rPr>
          <w:rFonts w:hint="eastAsia"/>
        </w:rPr>
        <w:t xml:space="preserve"> of Cancer）</w:t>
      </w:r>
    </w:p>
    <w:p>
      <w:pPr>
        <w:ind w:firstLine="560"/>
      </w:pPr>
      <w:r>
        <w:rPr>
          <w:rFonts w:hint="eastAsia"/>
        </w:rPr>
        <w:t>能够为社会公认并能为公众接受的终生致癌风险概率，通常应小于10-6，可因时间、地点、条件和公众的接受能力而不同。</w:t>
      </w:r>
    </w:p>
    <w:p>
      <w:pPr>
        <w:pStyle w:val="3"/>
        <w:ind w:firstLine="562"/>
      </w:pPr>
      <w:r>
        <w:rPr>
          <w:rFonts w:hint="eastAsia"/>
        </w:rPr>
        <w:t>10.12 T</w:t>
      </w:r>
      <w:r>
        <w:rPr>
          <w:rFonts w:hint="eastAsia"/>
          <w:vertAlign w:val="subscript"/>
        </w:rPr>
        <w:t>25</w:t>
      </w:r>
    </w:p>
    <w:p>
      <w:pPr>
        <w:ind w:firstLine="560"/>
      </w:pPr>
      <w:r>
        <w:rPr>
          <w:rFonts w:hint="eastAsia"/>
        </w:rPr>
        <w:t>对自发肿瘤发生率进行校正后，引起25%的实验动物出现肿瘤的剂量。</w:t>
      </w:r>
    </w:p>
    <w:p>
      <w:pPr>
        <w:pStyle w:val="3"/>
        <w:ind w:firstLine="562"/>
      </w:pPr>
      <w:r>
        <w:rPr>
          <w:rFonts w:hint="eastAsia"/>
        </w:rPr>
        <w:t>10.13每日允许摄入量（Acceptable Daily Intake，ADI）</w:t>
      </w:r>
    </w:p>
    <w:p>
      <w:pPr>
        <w:ind w:firstLine="560"/>
      </w:pPr>
      <w:r>
        <w:rPr>
          <w:rFonts w:hint="eastAsia"/>
        </w:rPr>
        <w:t>是指人终生每日从食物或饮水中摄入某种化学物质，对健康无任何已知不良效应的剂量。</w:t>
      </w:r>
    </w:p>
    <w:p>
      <w:pPr>
        <w:pStyle w:val="3"/>
        <w:ind w:firstLine="562"/>
      </w:pPr>
      <w:r>
        <w:rPr>
          <w:rFonts w:hint="eastAsia"/>
        </w:rPr>
        <w:t>10.14每日耐受剂量（Tolerable Daily Intake，TDI）</w:t>
      </w:r>
    </w:p>
    <w:p>
      <w:pPr>
        <w:ind w:firstLine="560"/>
      </w:pPr>
      <w:r>
        <w:rPr>
          <w:rFonts w:hint="eastAsia"/>
        </w:rPr>
        <w:t>是指人终生每日摄入某种物质，对健康无任何已知不良效应的剂量。</w:t>
      </w:r>
    </w:p>
    <w:p>
      <w:pPr>
        <w:pStyle w:val="3"/>
        <w:ind w:firstLine="562"/>
      </w:pPr>
      <w:r>
        <w:rPr>
          <w:rFonts w:hint="eastAsia"/>
        </w:rPr>
        <w:t>10.15 参考剂量（Reference Dose，RfD）</w:t>
      </w:r>
    </w:p>
    <w:p>
      <w:pPr>
        <w:ind w:firstLine="560"/>
      </w:pPr>
      <w:r>
        <w:rPr>
          <w:rFonts w:hint="eastAsia"/>
        </w:rPr>
        <w:t>环境介质（空气、水、土壤、食品等）中化学物质的日平均接触剂量的估计值，人群（包括敏感亚群）在终生接触该剂量水平下，预期一生中发生非致癌或非致突变有害效应的危险度可接受或可忽略。</w:t>
      </w:r>
    </w:p>
    <w:p>
      <w:pPr>
        <w:pStyle w:val="3"/>
        <w:ind w:firstLine="562"/>
      </w:pPr>
      <w:r>
        <w:t>10.16预期</w:t>
      </w:r>
      <w:r>
        <w:rPr>
          <w:rFonts w:hint="eastAsia"/>
        </w:rPr>
        <w:t>无诱导皮肤过敏的剂量水平（</w:t>
      </w:r>
      <w:r>
        <w:t>No Expected Sensitization Induction Level，</w:t>
      </w:r>
      <w:r>
        <w:rPr>
          <w:rFonts w:hint="eastAsia"/>
        </w:rPr>
        <w:t>简称：</w:t>
      </w:r>
      <w:r>
        <w:t>NESIL）</w:t>
      </w:r>
    </w:p>
    <w:p>
      <w:pPr>
        <w:ind w:firstLine="560"/>
      </w:pPr>
      <w:r>
        <w:rPr>
          <w:rFonts w:hint="eastAsia"/>
        </w:rPr>
        <w:t>不产生诱导致敏效应的最高剂量或浓度。</w:t>
      </w:r>
    </w:p>
    <w:p>
      <w:pPr>
        <w:pStyle w:val="3"/>
        <w:ind w:firstLine="562"/>
      </w:pPr>
      <w:r>
        <w:t>10.17毒理学关注阈值</w:t>
      </w:r>
      <w:r>
        <w:rPr>
          <w:rFonts w:hint="eastAsia"/>
        </w:rPr>
        <w:t>（</w:t>
      </w:r>
      <w:r>
        <w:t>Threshold of Toxicological Concern，TTC）</w:t>
      </w:r>
    </w:p>
    <w:p>
      <w:pPr>
        <w:ind w:firstLine="560"/>
      </w:pPr>
      <w:r>
        <w:rPr>
          <w:rFonts w:hint="eastAsia"/>
        </w:rPr>
        <w:t>化学品暴露阈值，在该暴露水平下，预计不存在危害人类健康的风险。</w:t>
      </w:r>
    </w:p>
    <w:p>
      <w:pPr>
        <w:widowControl/>
        <w:spacing w:line="240" w:lineRule="auto"/>
        <w:ind w:firstLine="560"/>
        <w:jc w:val="left"/>
      </w:pPr>
      <w:r>
        <w:br w:type="page"/>
      </w:r>
    </w:p>
    <w:p>
      <w:pPr>
        <w:pStyle w:val="2"/>
        <w:spacing w:before="156" w:after="156"/>
        <w:ind w:firstLine="0" w:firstLineChars="0"/>
        <w:rPr>
          <w:rFonts w:cs="黑体"/>
          <w:sz w:val="32"/>
          <w:szCs w:val="32"/>
        </w:rPr>
      </w:pPr>
      <w:bookmarkStart w:id="14" w:name="_Toc46753163"/>
      <w:r>
        <w:rPr>
          <w:rFonts w:hint="eastAsia" w:cs="黑体"/>
          <w:sz w:val="32"/>
          <w:szCs w:val="32"/>
        </w:rPr>
        <w:t>附录1</w:t>
      </w:r>
      <w:bookmarkEnd w:id="14"/>
    </w:p>
    <w:p>
      <w:pPr>
        <w:ind w:firstLine="0" w:firstLineChars="0"/>
        <w:jc w:val="center"/>
        <w:rPr>
          <w:rFonts w:ascii="方正小标宋简体" w:hAnsi="方正小标宋简体" w:eastAsia="方正小标宋简体" w:cs="方正小标宋简体"/>
          <w:bCs/>
          <w:sz w:val="44"/>
          <w:szCs w:val="44"/>
        </w:rPr>
      </w:pPr>
    </w:p>
    <w:p>
      <w:pPr>
        <w:ind w:firstLine="0" w:firstLineChars="0"/>
        <w:jc w:val="center"/>
        <w:rPr>
          <w:rFonts w:cs="仿宋_GB2312"/>
          <w:b/>
          <w:sz w:val="32"/>
          <w:szCs w:val="32"/>
        </w:rPr>
      </w:pPr>
      <w:r>
        <w:rPr>
          <w:rFonts w:hint="eastAsia" w:ascii="方正小标宋简体" w:hAnsi="方正小标宋简体" w:eastAsia="方正小标宋简体" w:cs="方正小标宋简体"/>
          <w:bCs/>
          <w:sz w:val="44"/>
          <w:szCs w:val="44"/>
        </w:rPr>
        <w:t>化妆品原料的风险评估报告</w:t>
      </w:r>
    </w:p>
    <w:p>
      <w:pPr>
        <w:pStyle w:val="51"/>
        <w:numPr>
          <w:ilvl w:val="0"/>
          <w:numId w:val="0"/>
        </w:numPr>
        <w:spacing w:line="360" w:lineRule="auto"/>
        <w:rPr>
          <w:rFonts w:ascii="仿宋_GB2312" w:hAnsi="仿宋_GB2312" w:eastAsia="仿宋_GB2312" w:cs="仿宋_GB2312"/>
          <w:szCs w:val="24"/>
        </w:rPr>
      </w:pPr>
    </w:p>
    <w:p>
      <w:pPr>
        <w:pStyle w:val="51"/>
        <w:numPr>
          <w:ilvl w:val="0"/>
          <w:numId w:val="0"/>
        </w:numPr>
        <w:spacing w:line="360" w:lineRule="auto"/>
        <w:rPr>
          <w:rFonts w:ascii="仿宋_GB2312" w:hAnsi="仿宋_GB2312" w:eastAsia="仿宋_GB2312" w:cs="仿宋_GB2312"/>
          <w:szCs w:val="24"/>
        </w:rPr>
      </w:pPr>
    </w:p>
    <w:p>
      <w:pPr>
        <w:pStyle w:val="51"/>
        <w:numPr>
          <w:ilvl w:val="0"/>
          <w:numId w:val="0"/>
        </w:numPr>
        <w:spacing w:line="360" w:lineRule="auto"/>
        <w:rPr>
          <w:rFonts w:ascii="仿宋_GB2312" w:hAnsi="仿宋_GB2312" w:eastAsia="仿宋_GB2312" w:cs="仿宋_GB2312"/>
          <w:szCs w:val="24"/>
        </w:rPr>
      </w:pP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题    目：</w:t>
      </w:r>
      <w:r>
        <w:rPr>
          <w:rFonts w:hint="eastAsia" w:ascii="仿宋_GB2312" w:hAnsi="仿宋_GB2312" w:eastAsia="仿宋_GB2312" w:cs="仿宋_GB2312"/>
          <w:sz w:val="28"/>
          <w:szCs w:val="28"/>
          <w:u w:val="single"/>
        </w:rPr>
        <w:t>（原料名称）</w:t>
      </w:r>
      <w:r>
        <w:rPr>
          <w:rFonts w:hint="eastAsia" w:ascii="仿宋_GB2312" w:hAnsi="仿宋_GB2312" w:eastAsia="仿宋_GB2312" w:cs="仿宋_GB2312"/>
          <w:sz w:val="28"/>
          <w:szCs w:val="28"/>
        </w:rPr>
        <w:t>风险评估报告</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公司名称：</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公司地址：</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评估单位：</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评 估 人：</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评估日期：</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日</w:t>
      </w:r>
    </w:p>
    <w:p>
      <w:pPr>
        <w:pStyle w:val="51"/>
        <w:numPr>
          <w:ilvl w:val="0"/>
          <w:numId w:val="0"/>
        </w:numPr>
        <w:spacing w:line="360" w:lineRule="auto"/>
        <w:rPr>
          <w:rFonts w:ascii="仿宋_GB2312" w:hAnsi="仿宋_GB2312" w:eastAsia="仿宋_GB2312" w:cs="仿宋_GB2312"/>
          <w:sz w:val="28"/>
          <w:szCs w:val="28"/>
        </w:rPr>
        <w:sectPr>
          <w:headerReference r:id="rId4" w:type="first"/>
          <w:footerReference r:id="rId6" w:type="first"/>
          <w:headerReference r:id="rId3" w:type="default"/>
          <w:footerReference r:id="rId5" w:type="default"/>
          <w:pgSz w:w="11906" w:h="16838"/>
          <w:pgMar w:top="1440" w:right="1797" w:bottom="1440" w:left="1797" w:header="851" w:footer="680" w:gutter="0"/>
          <w:pgNumType w:start="0"/>
          <w:cols w:space="425" w:num="1"/>
          <w:titlePg/>
          <w:docGrid w:type="lines" w:linePitch="312" w:charSpace="0"/>
        </w:sectPr>
      </w:pPr>
    </w:p>
    <w:p>
      <w:pPr>
        <w:pStyle w:val="63"/>
        <w:spacing w:before="312" w:after="156"/>
        <w:ind w:firstLine="480"/>
      </w:pPr>
      <w:r>
        <w:rPr>
          <w:rFonts w:hint="eastAsia"/>
        </w:rPr>
        <w:t>一、摘要：</w:t>
      </w:r>
    </w:p>
    <w:p>
      <w:pPr>
        <w:pStyle w:val="64"/>
        <w:ind w:firstLine="420"/>
      </w:pPr>
      <w:r>
        <w:rPr>
          <w:rFonts w:hint="eastAsia"/>
        </w:rPr>
        <w:t>***（CAS号：***），应用于***产品中，使用目的***，相关毒理学终点有***，暴露量为***，计算得出MoS值为***，可能产生的风险物质为***，经评估后可认为该原料在正常、合理及可预见的使用情况下不会对人体健康造成危害。</w:t>
      </w:r>
    </w:p>
    <w:p>
      <w:pPr>
        <w:pStyle w:val="63"/>
        <w:spacing w:before="312" w:after="156"/>
        <w:ind w:firstLine="480"/>
      </w:pPr>
      <w:r>
        <w:rPr>
          <w:rFonts w:hint="eastAsia"/>
        </w:rPr>
        <w:t>二、原料理化性质：</w:t>
      </w:r>
    </w:p>
    <w:p>
      <w:pPr>
        <w:pStyle w:val="64"/>
        <w:ind w:firstLine="420"/>
      </w:pPr>
      <w:r>
        <w:rPr>
          <w:rFonts w:hint="eastAsia"/>
        </w:rPr>
        <w:t>1. 名称：（包括化学名、通用名、商品名、INCI名、标准中文名称、 CAS号、EINCES号）</w:t>
      </w:r>
    </w:p>
    <w:p>
      <w:pPr>
        <w:pStyle w:val="64"/>
        <w:ind w:firstLine="420"/>
      </w:pPr>
      <w:r>
        <w:rPr>
          <w:rFonts w:hint="eastAsia"/>
        </w:rPr>
        <w:t>2. 分子结构式和相对分子量：</w:t>
      </w:r>
    </w:p>
    <w:p>
      <w:pPr>
        <w:pStyle w:val="64"/>
        <w:ind w:firstLine="420"/>
      </w:pPr>
      <w:r>
        <w:rPr>
          <w:rFonts w:hint="eastAsia"/>
        </w:rPr>
        <w:t>3.物理状态：</w:t>
      </w:r>
    </w:p>
    <w:p>
      <w:pPr>
        <w:pStyle w:val="64"/>
        <w:ind w:firstLine="420"/>
      </w:pPr>
      <w:r>
        <w:rPr>
          <w:rFonts w:hint="eastAsia"/>
        </w:rPr>
        <w:t>4.化学特性和纯度：</w:t>
      </w:r>
    </w:p>
    <w:p>
      <w:pPr>
        <w:pStyle w:val="64"/>
        <w:ind w:firstLine="420"/>
      </w:pPr>
      <w:r>
        <w:rPr>
          <w:rFonts w:hint="eastAsia"/>
        </w:rPr>
        <w:t>5.杂质及含量：</w:t>
      </w:r>
    </w:p>
    <w:p>
      <w:pPr>
        <w:pStyle w:val="64"/>
        <w:ind w:firstLine="420"/>
      </w:pPr>
      <w:r>
        <w:rPr>
          <w:rFonts w:hint="eastAsia"/>
        </w:rPr>
        <w:t>6.溶解度：</w:t>
      </w:r>
    </w:p>
    <w:p>
      <w:pPr>
        <w:pStyle w:val="64"/>
        <w:ind w:firstLine="420"/>
      </w:pPr>
      <w:r>
        <w:rPr>
          <w:rFonts w:hint="eastAsia"/>
        </w:rPr>
        <w:t>7.pH值：</w:t>
      </w:r>
    </w:p>
    <w:p>
      <w:pPr>
        <w:pStyle w:val="64"/>
        <w:ind w:firstLine="420"/>
      </w:pPr>
      <w:r>
        <w:rPr>
          <w:rFonts w:hint="eastAsia"/>
        </w:rPr>
        <w:t>8.分配系数：</w:t>
      </w:r>
    </w:p>
    <w:p>
      <w:pPr>
        <w:pStyle w:val="64"/>
        <w:ind w:firstLine="420"/>
      </w:pPr>
      <w:r>
        <w:rPr>
          <w:rFonts w:hint="eastAsia"/>
        </w:rPr>
        <w:t>9.均质性和稳定性：</w:t>
      </w:r>
    </w:p>
    <w:p>
      <w:pPr>
        <w:pStyle w:val="64"/>
        <w:ind w:firstLine="420"/>
      </w:pPr>
      <w:r>
        <w:rPr>
          <w:rFonts w:hint="eastAsia"/>
        </w:rPr>
        <w:t>10</w:t>
      </w:r>
      <w:r>
        <w:t>.生产工艺或提取工艺</w:t>
      </w:r>
    </w:p>
    <w:p>
      <w:pPr>
        <w:pStyle w:val="64"/>
        <w:ind w:firstLine="420"/>
      </w:pPr>
      <w:r>
        <w:rPr>
          <w:rFonts w:hint="eastAsia"/>
        </w:rPr>
        <w:t>11.U</w:t>
      </w:r>
      <w:r>
        <w:t>V-VIS</w:t>
      </w:r>
      <w:r>
        <w:rPr>
          <w:rFonts w:hint="eastAsia"/>
        </w:rPr>
        <w:t>吸收光谱：</w:t>
      </w:r>
    </w:p>
    <w:p>
      <w:pPr>
        <w:pStyle w:val="64"/>
        <w:ind w:firstLine="420"/>
      </w:pPr>
      <w:r>
        <w:rPr>
          <w:rFonts w:hint="eastAsia"/>
        </w:rPr>
        <w:t>12.异构体组成：</w:t>
      </w:r>
    </w:p>
    <w:p>
      <w:pPr>
        <w:pStyle w:val="64"/>
        <w:ind w:firstLine="420"/>
      </w:pPr>
      <w:r>
        <w:rPr>
          <w:rFonts w:hint="eastAsia"/>
        </w:rPr>
        <w:t>13.使用目的或功效：</w:t>
      </w:r>
    </w:p>
    <w:p>
      <w:pPr>
        <w:pStyle w:val="64"/>
        <w:ind w:firstLine="420"/>
      </w:pPr>
      <w:r>
        <w:rPr>
          <w:rFonts w:hint="eastAsia"/>
        </w:rPr>
        <w:t>14.使用浓度：</w:t>
      </w:r>
    </w:p>
    <w:p>
      <w:pPr>
        <w:pStyle w:val="64"/>
        <w:ind w:firstLine="420"/>
      </w:pPr>
      <w:r>
        <w:rPr>
          <w:rFonts w:hint="eastAsia"/>
        </w:rPr>
        <w:t>15.其它：如为矿物、动物、植物来源的原料或香精香料，按照本导则中的要求进行原料特性描述。</w:t>
      </w:r>
    </w:p>
    <w:p>
      <w:pPr>
        <w:pStyle w:val="63"/>
        <w:spacing w:before="312" w:after="156"/>
        <w:ind w:firstLine="480"/>
      </w:pPr>
      <w:r>
        <w:rPr>
          <w:rFonts w:hint="eastAsia"/>
        </w:rPr>
        <w:t>三、风险评估过程</w:t>
      </w:r>
    </w:p>
    <w:p>
      <w:pPr>
        <w:pStyle w:val="64"/>
        <w:ind w:firstLine="420"/>
      </w:pPr>
      <w:r>
        <w:rPr>
          <w:rFonts w:hint="eastAsia"/>
        </w:rPr>
        <w:t>1. 危害识别：</w:t>
      </w:r>
    </w:p>
    <w:p>
      <w:pPr>
        <w:pStyle w:val="64"/>
        <w:ind w:firstLine="420"/>
      </w:pPr>
      <w:r>
        <w:rPr>
          <w:rFonts w:hint="eastAsia"/>
        </w:rPr>
        <w:t>1.1 毒理学终点，一般包括：</w:t>
      </w:r>
    </w:p>
    <w:p>
      <w:pPr>
        <w:pStyle w:val="64"/>
        <w:ind w:firstLine="420"/>
      </w:pPr>
      <w:r>
        <w:t xml:space="preserve">(1) </w:t>
      </w:r>
      <w:r>
        <w:rPr>
          <w:rFonts w:hint="eastAsia"/>
        </w:rPr>
        <w:t>急性毒性</w:t>
      </w:r>
    </w:p>
    <w:p>
      <w:pPr>
        <w:pStyle w:val="64"/>
        <w:ind w:firstLine="420"/>
      </w:pPr>
      <w:r>
        <w:t xml:space="preserve">(2) </w:t>
      </w:r>
      <w:r>
        <w:rPr>
          <w:rFonts w:hint="eastAsia"/>
        </w:rPr>
        <w:t>刺激性</w:t>
      </w:r>
      <w:r>
        <w:t>/腐蚀性</w:t>
      </w:r>
    </w:p>
    <w:p>
      <w:pPr>
        <w:pStyle w:val="64"/>
        <w:ind w:firstLine="420"/>
      </w:pPr>
      <w:r>
        <w:t xml:space="preserve">(3) </w:t>
      </w:r>
      <w:r>
        <w:rPr>
          <w:rFonts w:hint="eastAsia"/>
        </w:rPr>
        <w:t>皮肤致敏性</w:t>
      </w:r>
    </w:p>
    <w:p>
      <w:pPr>
        <w:pStyle w:val="64"/>
        <w:ind w:firstLine="420"/>
      </w:pPr>
      <w:r>
        <w:t xml:space="preserve">(4) </w:t>
      </w:r>
      <w:r>
        <w:rPr>
          <w:rFonts w:hint="eastAsia"/>
        </w:rPr>
        <w:t>皮肤光毒性</w:t>
      </w:r>
    </w:p>
    <w:p>
      <w:pPr>
        <w:pStyle w:val="64"/>
        <w:ind w:firstLine="420"/>
      </w:pPr>
      <w:r>
        <w:rPr>
          <w:rFonts w:hint="eastAsia"/>
        </w:rPr>
        <w:t>(5) 光变态反应</w:t>
      </w:r>
    </w:p>
    <w:p>
      <w:pPr>
        <w:pStyle w:val="64"/>
        <w:ind w:firstLine="420"/>
      </w:pPr>
      <w:r>
        <w:t>(</w:t>
      </w:r>
      <w:r>
        <w:rPr>
          <w:rFonts w:hint="eastAsia"/>
        </w:rPr>
        <w:t>6</w:t>
      </w:r>
      <w:r>
        <w:t xml:space="preserve">) </w:t>
      </w:r>
      <w:r>
        <w:rPr>
          <w:rFonts w:hint="eastAsia"/>
        </w:rPr>
        <w:t>致突变性</w:t>
      </w:r>
      <w:r>
        <w:t>/遗传毒性</w:t>
      </w:r>
    </w:p>
    <w:p>
      <w:pPr>
        <w:pStyle w:val="64"/>
        <w:ind w:firstLine="420"/>
      </w:pPr>
      <w:r>
        <w:t>(</w:t>
      </w:r>
      <w:r>
        <w:rPr>
          <w:rFonts w:hint="eastAsia"/>
        </w:rPr>
        <w:t>7</w:t>
      </w:r>
      <w:r>
        <w:t xml:space="preserve">) </w:t>
      </w:r>
      <w:r>
        <w:rPr>
          <w:rFonts w:hint="eastAsia"/>
        </w:rPr>
        <w:t>重复剂量毒性</w:t>
      </w:r>
    </w:p>
    <w:p>
      <w:pPr>
        <w:pStyle w:val="64"/>
        <w:ind w:firstLine="420"/>
      </w:pPr>
      <w:r>
        <w:t>(</w:t>
      </w:r>
      <w:r>
        <w:rPr>
          <w:rFonts w:hint="eastAsia"/>
        </w:rPr>
        <w:t>8</w:t>
      </w:r>
      <w:r>
        <w:t xml:space="preserve">) </w:t>
      </w:r>
      <w:r>
        <w:rPr>
          <w:rFonts w:hint="eastAsia"/>
        </w:rPr>
        <w:t>发育和生殖毒性</w:t>
      </w:r>
    </w:p>
    <w:p>
      <w:pPr>
        <w:pStyle w:val="64"/>
        <w:ind w:firstLine="420"/>
      </w:pPr>
      <w:r>
        <w:t>(</w:t>
      </w:r>
      <w:r>
        <w:rPr>
          <w:rFonts w:hint="eastAsia"/>
        </w:rPr>
        <w:t>9</w:t>
      </w:r>
      <w:r>
        <w:t xml:space="preserve">) </w:t>
      </w:r>
      <w:r>
        <w:rPr>
          <w:rFonts w:hint="eastAsia"/>
        </w:rPr>
        <w:t>慢性毒性</w:t>
      </w:r>
      <w:r>
        <w:t>/致癌性</w:t>
      </w:r>
    </w:p>
    <w:p>
      <w:pPr>
        <w:pStyle w:val="64"/>
        <w:ind w:firstLine="420"/>
      </w:pPr>
      <w:r>
        <w:t>(</w:t>
      </w:r>
      <w:r>
        <w:rPr>
          <w:rFonts w:hint="eastAsia"/>
        </w:rPr>
        <w:t>10</w:t>
      </w:r>
      <w:r>
        <w:t xml:space="preserve">) </w:t>
      </w:r>
      <w:r>
        <w:rPr>
          <w:rFonts w:hint="eastAsia"/>
        </w:rPr>
        <w:t>毒代动力学</w:t>
      </w:r>
    </w:p>
    <w:p>
      <w:pPr>
        <w:pStyle w:val="64"/>
        <w:ind w:firstLine="420"/>
      </w:pPr>
      <w:r>
        <w:t>(1</w:t>
      </w:r>
      <w:r>
        <w:rPr>
          <w:rFonts w:hint="eastAsia"/>
        </w:rPr>
        <w:t>1</w:t>
      </w:r>
      <w:r>
        <w:t xml:space="preserve">) </w:t>
      </w:r>
      <w:r>
        <w:rPr>
          <w:rFonts w:hint="eastAsia"/>
        </w:rPr>
        <w:t>人群安全资料</w:t>
      </w:r>
    </w:p>
    <w:p>
      <w:pPr>
        <w:pStyle w:val="64"/>
        <w:ind w:firstLine="420"/>
      </w:pPr>
      <w:r>
        <w:rPr>
          <w:rFonts w:hint="eastAsia"/>
        </w:rPr>
        <w:t>1.2 危害识别：</w:t>
      </w:r>
    </w:p>
    <w:p>
      <w:pPr>
        <w:pStyle w:val="64"/>
        <w:ind w:firstLine="420"/>
      </w:pPr>
    </w:p>
    <w:p>
      <w:pPr>
        <w:pStyle w:val="64"/>
        <w:ind w:firstLine="420"/>
      </w:pPr>
      <w:r>
        <w:rPr>
          <w:rFonts w:hint="eastAsia"/>
        </w:rPr>
        <w:t>2. 剂量反应关系评估：</w:t>
      </w:r>
    </w:p>
    <w:p>
      <w:pPr>
        <w:pStyle w:val="64"/>
        <w:ind w:firstLine="420"/>
      </w:pPr>
    </w:p>
    <w:p>
      <w:pPr>
        <w:pStyle w:val="64"/>
        <w:ind w:firstLine="420"/>
      </w:pPr>
      <w:r>
        <w:rPr>
          <w:rFonts w:hint="eastAsia"/>
        </w:rPr>
        <w:t>3. 暴露评估：</w:t>
      </w:r>
    </w:p>
    <w:p>
      <w:pPr>
        <w:pStyle w:val="64"/>
        <w:ind w:firstLine="420"/>
      </w:pPr>
    </w:p>
    <w:p>
      <w:pPr>
        <w:pStyle w:val="64"/>
        <w:ind w:firstLine="420"/>
      </w:pPr>
      <w:r>
        <w:rPr>
          <w:rFonts w:hint="eastAsia"/>
        </w:rPr>
        <w:t>4. 风险特征描述：</w:t>
      </w:r>
    </w:p>
    <w:p>
      <w:pPr>
        <w:pStyle w:val="51"/>
        <w:numPr>
          <w:ilvl w:val="0"/>
          <w:numId w:val="0"/>
        </w:numPr>
        <w:spacing w:line="360" w:lineRule="auto"/>
        <w:rPr>
          <w:rFonts w:ascii="仿宋_GB2312" w:hAnsi="仿宋_GB2312" w:eastAsia="仿宋_GB2312" w:cs="仿宋_GB2312"/>
          <w:sz w:val="28"/>
          <w:szCs w:val="28"/>
        </w:rPr>
      </w:pPr>
    </w:p>
    <w:p>
      <w:pPr>
        <w:pStyle w:val="63"/>
        <w:spacing w:before="312" w:after="156"/>
        <w:ind w:firstLine="480"/>
      </w:pPr>
      <w:r>
        <w:rPr>
          <w:rFonts w:hint="eastAsia"/>
        </w:rPr>
        <w:t>四、风险评估结果的分析：包括对风险评估过程中资料的完整性、可靠性、科学性的分析，数据不确定性的分析等。</w:t>
      </w:r>
    </w:p>
    <w:p>
      <w:pPr>
        <w:pStyle w:val="51"/>
        <w:numPr>
          <w:ilvl w:val="0"/>
          <w:numId w:val="0"/>
        </w:numPr>
        <w:spacing w:line="360" w:lineRule="auto"/>
        <w:rPr>
          <w:rFonts w:ascii="仿宋_GB2312" w:hAnsi="仿宋_GB2312" w:eastAsia="仿宋_GB2312" w:cs="仿宋_GB2312"/>
          <w:sz w:val="28"/>
          <w:szCs w:val="28"/>
        </w:rPr>
      </w:pPr>
    </w:p>
    <w:p>
      <w:pPr>
        <w:pStyle w:val="63"/>
        <w:spacing w:before="312" w:after="156"/>
        <w:ind w:firstLine="480"/>
      </w:pPr>
      <w:r>
        <w:rPr>
          <w:rFonts w:hint="eastAsia"/>
        </w:rPr>
        <w:t>五、风险控制措施或建议：</w:t>
      </w:r>
    </w:p>
    <w:p>
      <w:pPr>
        <w:pStyle w:val="51"/>
        <w:numPr>
          <w:ilvl w:val="0"/>
          <w:numId w:val="0"/>
        </w:numPr>
        <w:spacing w:line="360" w:lineRule="auto"/>
        <w:rPr>
          <w:rFonts w:ascii="仿宋_GB2312" w:hAnsi="仿宋_GB2312" w:eastAsia="仿宋_GB2312" w:cs="仿宋_GB2312"/>
          <w:sz w:val="28"/>
          <w:szCs w:val="28"/>
        </w:rPr>
      </w:pPr>
    </w:p>
    <w:p>
      <w:pPr>
        <w:pStyle w:val="63"/>
        <w:spacing w:before="312" w:after="156"/>
        <w:ind w:firstLine="480"/>
      </w:pPr>
      <w:r>
        <w:rPr>
          <w:rFonts w:hint="eastAsia"/>
        </w:rPr>
        <w:t>六、风险评估结论：</w:t>
      </w:r>
    </w:p>
    <w:p>
      <w:pPr>
        <w:pStyle w:val="63"/>
        <w:spacing w:before="312" w:after="156"/>
        <w:ind w:firstLine="480"/>
      </w:pPr>
    </w:p>
    <w:p>
      <w:pPr>
        <w:pStyle w:val="63"/>
        <w:spacing w:before="312" w:after="156"/>
        <w:ind w:firstLine="480"/>
      </w:pPr>
      <w:r>
        <w:rPr>
          <w:rFonts w:hint="eastAsia"/>
        </w:rPr>
        <w:t>七、风险评估人员签名</w:t>
      </w:r>
    </w:p>
    <w:p>
      <w:pPr>
        <w:pStyle w:val="63"/>
        <w:spacing w:before="312" w:after="156"/>
        <w:ind w:firstLine="480"/>
      </w:pPr>
      <w:r>
        <w:rPr>
          <w:rFonts w:hint="eastAsia"/>
        </w:rPr>
        <w:t>八、风险评估人员简历</w:t>
      </w:r>
    </w:p>
    <w:p>
      <w:pPr>
        <w:pStyle w:val="63"/>
        <w:spacing w:before="312" w:after="156"/>
        <w:ind w:firstLine="480"/>
        <w:rPr>
          <w:rStyle w:val="66"/>
        </w:rPr>
      </w:pPr>
      <w:r>
        <w:rPr>
          <w:rFonts w:hint="eastAsia"/>
        </w:rPr>
        <w:t>九、参考文献</w:t>
      </w:r>
    </w:p>
    <w:p>
      <w:pPr>
        <w:pStyle w:val="63"/>
        <w:spacing w:before="312" w:after="156"/>
        <w:ind w:firstLine="480"/>
        <w:rPr>
          <w:rFonts w:ascii="仿宋_GB2312" w:hAnsi="仿宋_GB2312" w:eastAsia="仿宋_GB2312" w:cs="仿宋_GB2312"/>
        </w:rPr>
      </w:pPr>
      <w:r>
        <w:rPr>
          <w:rFonts w:hint="eastAsia"/>
        </w:rPr>
        <w:t>十、附录，包括检测报告、涉及的原料规格证明等。若存在风险物质，应提供风险物质评估结论和资料，或风险物质检验报告。：</w:t>
      </w:r>
      <w:r>
        <w:rPr>
          <w:rFonts w:ascii="仿宋_GB2312" w:hAnsi="仿宋_GB2312" w:eastAsia="仿宋_GB2312" w:cs="仿宋_GB2312"/>
        </w:rPr>
        <w:br w:type="page"/>
      </w:r>
    </w:p>
    <w:p>
      <w:pPr>
        <w:pStyle w:val="2"/>
        <w:spacing w:before="156" w:after="156"/>
        <w:ind w:firstLine="0" w:firstLineChars="0"/>
        <w:rPr>
          <w:rFonts w:cs="黑体"/>
          <w:sz w:val="32"/>
          <w:szCs w:val="32"/>
        </w:rPr>
      </w:pPr>
      <w:bookmarkStart w:id="15" w:name="_Toc46753164"/>
      <w:r>
        <w:rPr>
          <w:rFonts w:hint="eastAsia" w:cs="黑体"/>
          <w:sz w:val="32"/>
          <w:szCs w:val="32"/>
        </w:rPr>
        <w:t>附录2</w:t>
      </w:r>
      <w:bookmarkEnd w:id="15"/>
    </w:p>
    <w:p>
      <w:pPr>
        <w:rPr>
          <w:rFonts w:ascii="黑体" w:hAnsi="黑体" w:eastAsia="黑体" w:cs="黑体"/>
          <w:sz w:val="32"/>
          <w:szCs w:val="32"/>
        </w:rPr>
      </w:pPr>
    </w:p>
    <w:p>
      <w:pPr>
        <w:ind w:firstLine="0" w:firstLineChars="0"/>
        <w:rPr>
          <w:rFonts w:ascii="黑体" w:hAnsi="黑体" w:eastAsia="黑体" w:cs="黑体"/>
          <w:sz w:val="32"/>
          <w:szCs w:val="32"/>
        </w:rPr>
      </w:pPr>
    </w:p>
    <w:p>
      <w:pPr>
        <w:ind w:firstLine="0" w:firstLineChars="0"/>
        <w:jc w:val="center"/>
        <w:rPr>
          <w:rFonts w:cs="仿宋_GB2312"/>
          <w:b/>
          <w:sz w:val="32"/>
          <w:szCs w:val="32"/>
        </w:rPr>
      </w:pPr>
      <w:r>
        <w:rPr>
          <w:rFonts w:hint="eastAsia" w:ascii="方正小标宋简体" w:hAnsi="方正小标宋简体" w:eastAsia="方正小标宋简体" w:cs="方正小标宋简体"/>
          <w:bCs/>
          <w:sz w:val="44"/>
          <w:szCs w:val="44"/>
        </w:rPr>
        <w:t>化妆品产品的安全评估报告</w:t>
      </w:r>
    </w:p>
    <w:p>
      <w:pPr>
        <w:pStyle w:val="51"/>
        <w:numPr>
          <w:ilvl w:val="0"/>
          <w:numId w:val="0"/>
        </w:numPr>
        <w:spacing w:line="360" w:lineRule="auto"/>
        <w:rPr>
          <w:rFonts w:ascii="仿宋_GB2312" w:hAnsi="仿宋_GB2312" w:eastAsia="仿宋_GB2312" w:cs="仿宋_GB2312"/>
          <w:szCs w:val="24"/>
        </w:rPr>
      </w:pPr>
    </w:p>
    <w:p>
      <w:pPr>
        <w:pStyle w:val="51"/>
        <w:numPr>
          <w:ilvl w:val="0"/>
          <w:numId w:val="0"/>
        </w:numPr>
        <w:spacing w:line="360" w:lineRule="auto"/>
        <w:rPr>
          <w:rFonts w:ascii="仿宋_GB2312" w:hAnsi="仿宋_GB2312" w:eastAsia="仿宋_GB2312" w:cs="仿宋_GB2312"/>
          <w:szCs w:val="24"/>
        </w:rPr>
      </w:pPr>
    </w:p>
    <w:p>
      <w:pPr>
        <w:pStyle w:val="51"/>
        <w:numPr>
          <w:ilvl w:val="0"/>
          <w:numId w:val="0"/>
        </w:numPr>
        <w:spacing w:line="360" w:lineRule="auto"/>
        <w:rPr>
          <w:rFonts w:ascii="仿宋_GB2312" w:hAnsi="仿宋_GB2312" w:eastAsia="仿宋_GB2312" w:cs="仿宋_GB2312"/>
          <w:szCs w:val="24"/>
        </w:rPr>
      </w:pP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题    目：</w:t>
      </w:r>
      <w:r>
        <w:rPr>
          <w:rFonts w:hint="eastAsia" w:ascii="仿宋_GB2312" w:hAnsi="仿宋_GB2312" w:eastAsia="仿宋_GB2312" w:cs="仿宋_GB2312"/>
          <w:sz w:val="28"/>
          <w:szCs w:val="28"/>
          <w:u w:val="single"/>
        </w:rPr>
        <w:t>（原料名称）</w:t>
      </w:r>
      <w:r>
        <w:rPr>
          <w:rFonts w:hint="eastAsia" w:ascii="仿宋_GB2312" w:hAnsi="仿宋_GB2312" w:eastAsia="仿宋_GB2312" w:cs="仿宋_GB2312"/>
          <w:sz w:val="28"/>
          <w:szCs w:val="28"/>
        </w:rPr>
        <w:t>安全评估报告</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公司名称：</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公司地址：</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评估单位：</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评 估 人：</w:t>
      </w:r>
      <w:r>
        <w:rPr>
          <w:rFonts w:hint="eastAsia" w:ascii="仿宋_GB2312" w:hAnsi="仿宋_GB2312" w:eastAsia="仿宋_GB2312" w:cs="仿宋_GB2312"/>
          <w:sz w:val="28"/>
          <w:szCs w:val="28"/>
          <w:u w:val="single"/>
        </w:rPr>
        <w:t>************************</w:t>
      </w:r>
    </w:p>
    <w:p>
      <w:pPr>
        <w:pStyle w:val="51"/>
        <w:numPr>
          <w:ilvl w:val="0"/>
          <w:numId w:val="0"/>
        </w:num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评估日期：</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日</w:t>
      </w:r>
    </w:p>
    <w:p>
      <w:pPr>
        <w:pStyle w:val="51"/>
        <w:numPr>
          <w:ilvl w:val="0"/>
          <w:numId w:val="0"/>
        </w:numPr>
        <w:spacing w:line="360" w:lineRule="auto"/>
        <w:rPr>
          <w:rFonts w:ascii="仿宋_GB2312" w:hAnsi="仿宋_GB2312" w:eastAsia="仿宋_GB2312" w:cs="仿宋_GB2312"/>
          <w:sz w:val="28"/>
          <w:szCs w:val="28"/>
        </w:rPr>
        <w:sectPr>
          <w:pgSz w:w="11906" w:h="16838"/>
          <w:pgMar w:top="1440" w:right="1797" w:bottom="1440" w:left="1797" w:header="851" w:footer="680" w:gutter="0"/>
          <w:cols w:space="425" w:num="1"/>
          <w:titlePg/>
          <w:docGrid w:type="lines" w:linePitch="312" w:charSpace="0"/>
        </w:sectPr>
      </w:pPr>
    </w:p>
    <w:p>
      <w:pPr>
        <w:pStyle w:val="63"/>
        <w:spacing w:before="312" w:after="156"/>
        <w:ind w:firstLine="480"/>
      </w:pPr>
      <w:r>
        <w:rPr>
          <w:rFonts w:hint="eastAsia"/>
        </w:rPr>
        <w:t>一、安全评估摘要：</w:t>
      </w:r>
    </w:p>
    <w:p>
      <w:pPr>
        <w:pStyle w:val="64"/>
        <w:ind w:firstLine="420"/>
      </w:pPr>
      <w:r>
        <w:rPr>
          <w:rFonts w:hint="eastAsia"/>
        </w:rPr>
        <w:t>**为**（使用方法、剂型等）产品，使用目的**，依据《化妆品安全评估导则》，对产品中的**、**（具体原料名称），**、**（具体风险物质名称）进行安全评估，以及</w:t>
      </w:r>
      <w:r>
        <w:t>……</w:t>
      </w:r>
      <w:r>
        <w:rPr>
          <w:rFonts w:hint="eastAsia"/>
        </w:rPr>
        <w:t>（其他安全资料）。结果显示，该产品在正常、合理及可预见的使用情况下不会对人体健康造成危害。</w:t>
      </w:r>
    </w:p>
    <w:p>
      <w:pPr>
        <w:pStyle w:val="63"/>
        <w:spacing w:before="312" w:after="156"/>
        <w:ind w:firstLine="480"/>
      </w:pPr>
      <w:r>
        <w:rPr>
          <w:rFonts w:hint="eastAsia"/>
        </w:rPr>
        <w:t>二、产品简介：</w:t>
      </w:r>
    </w:p>
    <w:p>
      <w:pPr>
        <w:pStyle w:val="64"/>
        <w:ind w:firstLine="420"/>
      </w:pPr>
      <w:r>
        <w:rPr>
          <w:rFonts w:hint="eastAsia"/>
        </w:rPr>
        <w:t>1.产品名称：配方中各成分的安全评估、可能存在的风险物质评估、风险控制措施或建议、安全评估结论、安全评估人员签名及简历、参考文献和附录</w:t>
      </w:r>
    </w:p>
    <w:p>
      <w:pPr>
        <w:pStyle w:val="64"/>
        <w:ind w:firstLine="420"/>
      </w:pPr>
      <w:r>
        <w:rPr>
          <w:rFonts w:hint="eastAsia"/>
        </w:rPr>
        <w:t>2.产品使用目的及使用方式</w:t>
      </w:r>
    </w:p>
    <w:p>
      <w:pPr>
        <w:pStyle w:val="64"/>
        <w:ind w:firstLine="420"/>
      </w:pPr>
      <w:r>
        <w:rPr>
          <w:rFonts w:hint="eastAsia"/>
        </w:rPr>
        <w:t>3.日均使用量 (g/day)：</w:t>
      </w:r>
    </w:p>
    <w:p>
      <w:pPr>
        <w:pStyle w:val="64"/>
        <w:ind w:firstLine="420"/>
      </w:pPr>
      <w:r>
        <w:rPr>
          <w:rFonts w:hint="eastAsia"/>
        </w:rPr>
        <w:t>4.驻留因子：</w:t>
      </w:r>
    </w:p>
    <w:p>
      <w:pPr>
        <w:pStyle w:val="64"/>
        <w:ind w:firstLine="420"/>
      </w:pPr>
      <w:r>
        <w:rPr>
          <w:rFonts w:hint="eastAsia"/>
        </w:rPr>
        <w:t>5</w:t>
      </w:r>
      <w:r>
        <w:t>.</w:t>
      </w:r>
      <w:r>
        <w:rPr>
          <w:rFonts w:hint="eastAsia"/>
        </w:rPr>
        <w:t>其他：</w:t>
      </w:r>
    </w:p>
    <w:p>
      <w:pPr>
        <w:pStyle w:val="63"/>
        <w:spacing w:before="312" w:after="156"/>
        <w:ind w:firstLine="480"/>
      </w:pPr>
      <w:r>
        <w:rPr>
          <w:rFonts w:hint="eastAsia"/>
        </w:rPr>
        <w:t>三、产品配方</w:t>
      </w:r>
    </w:p>
    <w:p>
      <w:pPr>
        <w:pStyle w:val="63"/>
        <w:spacing w:before="312" w:after="156"/>
        <w:ind w:firstLine="480"/>
      </w:pPr>
      <w:r>
        <w:rPr>
          <w:rFonts w:hint="eastAsia"/>
        </w:rPr>
        <w:t>四、配方设计原则（仅针对儿童化妆品）</w:t>
      </w:r>
    </w:p>
    <w:p>
      <w:pPr>
        <w:pStyle w:val="63"/>
        <w:spacing w:before="312" w:after="156"/>
        <w:ind w:firstLine="480"/>
      </w:pPr>
      <w:r>
        <w:rPr>
          <w:rFonts w:hint="eastAsia"/>
        </w:rPr>
        <w:t>五、配方中各成分的安全评估：</w:t>
      </w:r>
    </w:p>
    <w:p>
      <w:pPr>
        <w:pStyle w:val="64"/>
        <w:ind w:firstLine="420"/>
      </w:pPr>
      <w:r>
        <w:rPr>
          <w:rFonts w:hint="eastAsia"/>
        </w:rPr>
        <w:t>1. 危害识别：</w:t>
      </w:r>
    </w:p>
    <w:p>
      <w:pPr>
        <w:pStyle w:val="64"/>
        <w:ind w:firstLine="420"/>
      </w:pPr>
      <w:r>
        <w:rPr>
          <w:rFonts w:hint="eastAsia"/>
        </w:rPr>
        <w:t>一般包括：</w:t>
      </w:r>
    </w:p>
    <w:p>
      <w:pPr>
        <w:pStyle w:val="64"/>
        <w:ind w:firstLine="420"/>
      </w:pPr>
      <w:r>
        <w:t xml:space="preserve">(1) </w:t>
      </w:r>
      <w:r>
        <w:rPr>
          <w:rFonts w:hint="eastAsia"/>
        </w:rPr>
        <w:t>急性毒性</w:t>
      </w:r>
    </w:p>
    <w:p>
      <w:pPr>
        <w:pStyle w:val="64"/>
        <w:ind w:firstLine="420"/>
      </w:pPr>
      <w:r>
        <w:t xml:space="preserve">(2) </w:t>
      </w:r>
      <w:r>
        <w:rPr>
          <w:rFonts w:hint="eastAsia"/>
        </w:rPr>
        <w:t>刺激性</w:t>
      </w:r>
      <w:r>
        <w:t>/腐蚀性</w:t>
      </w:r>
    </w:p>
    <w:p>
      <w:pPr>
        <w:pStyle w:val="64"/>
        <w:ind w:firstLine="420"/>
      </w:pPr>
      <w:r>
        <w:t xml:space="preserve">(3) </w:t>
      </w:r>
      <w:r>
        <w:rPr>
          <w:rFonts w:hint="eastAsia"/>
        </w:rPr>
        <w:t>皮肤致敏性</w:t>
      </w:r>
    </w:p>
    <w:p>
      <w:pPr>
        <w:pStyle w:val="64"/>
        <w:ind w:firstLine="420"/>
      </w:pPr>
      <w:r>
        <w:t xml:space="preserve">(4) </w:t>
      </w:r>
      <w:r>
        <w:rPr>
          <w:rFonts w:hint="eastAsia"/>
        </w:rPr>
        <w:t>皮肤光毒性</w:t>
      </w:r>
    </w:p>
    <w:p>
      <w:pPr>
        <w:pStyle w:val="64"/>
        <w:ind w:firstLine="420"/>
      </w:pPr>
      <w:r>
        <w:rPr>
          <w:rFonts w:hint="eastAsia"/>
        </w:rPr>
        <w:t>(5) 光变态反应</w:t>
      </w:r>
    </w:p>
    <w:p>
      <w:pPr>
        <w:pStyle w:val="64"/>
        <w:ind w:firstLine="420"/>
      </w:pPr>
      <w:r>
        <w:t>(</w:t>
      </w:r>
      <w:r>
        <w:rPr>
          <w:rFonts w:hint="eastAsia"/>
        </w:rPr>
        <w:t>6</w:t>
      </w:r>
      <w:r>
        <w:t xml:space="preserve">) </w:t>
      </w:r>
      <w:r>
        <w:rPr>
          <w:rFonts w:hint="eastAsia"/>
        </w:rPr>
        <w:t>致突变性</w:t>
      </w:r>
      <w:r>
        <w:t>/遗传毒性</w:t>
      </w:r>
    </w:p>
    <w:p>
      <w:pPr>
        <w:pStyle w:val="64"/>
        <w:ind w:firstLine="420"/>
      </w:pPr>
      <w:r>
        <w:t>(</w:t>
      </w:r>
      <w:r>
        <w:rPr>
          <w:rFonts w:hint="eastAsia"/>
        </w:rPr>
        <w:t>7</w:t>
      </w:r>
      <w:r>
        <w:t xml:space="preserve">) </w:t>
      </w:r>
      <w:r>
        <w:rPr>
          <w:rFonts w:hint="eastAsia"/>
        </w:rPr>
        <w:t>重复剂量毒性</w:t>
      </w:r>
    </w:p>
    <w:p>
      <w:pPr>
        <w:pStyle w:val="64"/>
        <w:ind w:firstLine="420"/>
      </w:pPr>
      <w:r>
        <w:t>(</w:t>
      </w:r>
      <w:r>
        <w:rPr>
          <w:rFonts w:hint="eastAsia"/>
        </w:rPr>
        <w:t>8</w:t>
      </w:r>
      <w:r>
        <w:t xml:space="preserve">) </w:t>
      </w:r>
      <w:r>
        <w:rPr>
          <w:rFonts w:hint="eastAsia"/>
        </w:rPr>
        <w:t>发育和生殖毒性</w:t>
      </w:r>
    </w:p>
    <w:p>
      <w:pPr>
        <w:pStyle w:val="64"/>
        <w:ind w:firstLine="420"/>
      </w:pPr>
      <w:r>
        <w:t>(</w:t>
      </w:r>
      <w:r>
        <w:rPr>
          <w:rFonts w:hint="eastAsia"/>
        </w:rPr>
        <w:t>9</w:t>
      </w:r>
      <w:r>
        <w:t xml:space="preserve">) </w:t>
      </w:r>
      <w:r>
        <w:rPr>
          <w:rFonts w:hint="eastAsia"/>
        </w:rPr>
        <w:t>慢性毒性</w:t>
      </w:r>
      <w:r>
        <w:t>/致癌性</w:t>
      </w:r>
    </w:p>
    <w:p>
      <w:pPr>
        <w:pStyle w:val="64"/>
        <w:ind w:firstLine="420"/>
      </w:pPr>
      <w:r>
        <w:t>(</w:t>
      </w:r>
      <w:r>
        <w:rPr>
          <w:rFonts w:hint="eastAsia"/>
        </w:rPr>
        <w:t>10</w:t>
      </w:r>
      <w:r>
        <w:t xml:space="preserve">) </w:t>
      </w:r>
      <w:r>
        <w:rPr>
          <w:rFonts w:hint="eastAsia"/>
        </w:rPr>
        <w:t>毒代动力学</w:t>
      </w:r>
    </w:p>
    <w:p>
      <w:pPr>
        <w:pStyle w:val="64"/>
        <w:ind w:firstLine="420"/>
      </w:pPr>
      <w:r>
        <w:t>(1</w:t>
      </w:r>
      <w:r>
        <w:rPr>
          <w:rFonts w:hint="eastAsia"/>
        </w:rPr>
        <w:t>1</w:t>
      </w:r>
      <w:r>
        <w:t xml:space="preserve">) </w:t>
      </w:r>
      <w:r>
        <w:rPr>
          <w:rFonts w:hint="eastAsia"/>
        </w:rPr>
        <w:t>人群安全资料</w:t>
      </w:r>
    </w:p>
    <w:p>
      <w:pPr>
        <w:pStyle w:val="64"/>
        <w:ind w:firstLine="420"/>
      </w:pPr>
      <w:r>
        <w:rPr>
          <w:rFonts w:hint="eastAsia"/>
        </w:rPr>
        <w:t>2. 剂量反应关系评估：</w:t>
      </w:r>
    </w:p>
    <w:p>
      <w:pPr>
        <w:pStyle w:val="64"/>
        <w:ind w:firstLine="420"/>
      </w:pPr>
      <w:r>
        <w:rPr>
          <w:rFonts w:hint="eastAsia"/>
        </w:rPr>
        <w:t>3. 暴露评估：</w:t>
      </w:r>
    </w:p>
    <w:p>
      <w:pPr>
        <w:pStyle w:val="64"/>
        <w:ind w:firstLine="420"/>
      </w:pPr>
      <w:r>
        <w:rPr>
          <w:rFonts w:hint="eastAsia"/>
        </w:rPr>
        <w:t>4. 风险特征描述：</w:t>
      </w:r>
    </w:p>
    <w:p>
      <w:pPr>
        <w:pStyle w:val="63"/>
        <w:spacing w:before="312" w:after="156"/>
        <w:ind w:firstLine="480"/>
      </w:pPr>
      <w:r>
        <w:rPr>
          <w:rFonts w:hint="eastAsia"/>
        </w:rPr>
        <w:t>六、可能存在的风险物质评估</w:t>
      </w:r>
    </w:p>
    <w:p>
      <w:pPr>
        <w:pStyle w:val="63"/>
        <w:spacing w:before="312" w:after="156"/>
        <w:ind w:firstLine="480"/>
      </w:pPr>
      <w:r>
        <w:rPr>
          <w:rFonts w:hint="eastAsia"/>
        </w:rPr>
        <w:t>七、风险控制措施或建议：（如警示用语、使用方法）</w:t>
      </w:r>
    </w:p>
    <w:p>
      <w:pPr>
        <w:pStyle w:val="63"/>
        <w:spacing w:before="312" w:after="156"/>
        <w:ind w:firstLine="480"/>
      </w:pPr>
      <w:r>
        <w:rPr>
          <w:rFonts w:hint="eastAsia"/>
        </w:rPr>
        <w:t>八、安全评估结论：（一般包括产品理化稳定性评估结论；产品微生物稳定性评估结论；人体安全数据，包括：临床数据、消费者使用调查、不良反应记录等。检测结论，各原料的评估结论）</w:t>
      </w:r>
    </w:p>
    <w:p>
      <w:pPr>
        <w:pStyle w:val="63"/>
        <w:spacing w:before="312" w:after="156"/>
        <w:ind w:firstLine="480"/>
      </w:pPr>
      <w:r>
        <w:rPr>
          <w:rFonts w:hint="eastAsia"/>
        </w:rPr>
        <w:t>九、安全评估人员签名</w:t>
      </w:r>
    </w:p>
    <w:p>
      <w:pPr>
        <w:pStyle w:val="63"/>
        <w:spacing w:before="312" w:after="156"/>
        <w:ind w:firstLine="480"/>
      </w:pPr>
      <w:r>
        <w:rPr>
          <w:rFonts w:hint="eastAsia"/>
        </w:rPr>
        <w:t>十、安全评估人员资质证明（简历）</w:t>
      </w:r>
    </w:p>
    <w:p>
      <w:pPr>
        <w:pStyle w:val="63"/>
        <w:spacing w:before="312" w:after="156"/>
        <w:ind w:firstLine="480"/>
      </w:pPr>
      <w:r>
        <w:rPr>
          <w:rFonts w:hint="eastAsia"/>
        </w:rPr>
        <w:t>十一、参考文献</w:t>
      </w:r>
    </w:p>
    <w:p>
      <w:pPr>
        <w:pStyle w:val="63"/>
        <w:spacing w:before="312" w:after="156"/>
        <w:ind w:firstLine="480"/>
      </w:pPr>
      <w:r>
        <w:rPr>
          <w:rFonts w:hint="eastAsia"/>
        </w:rPr>
        <w:t>十二、附录，包括检测报告、涉及的原料质量规格证明等。</w:t>
      </w:r>
    </w:p>
    <w:p>
      <w:pPr>
        <w:ind w:firstLine="560"/>
      </w:pPr>
    </w:p>
    <w:p>
      <w:pPr>
        <w:ind w:firstLine="560"/>
      </w:pPr>
    </w:p>
    <w:p>
      <w:pPr>
        <w:pStyle w:val="2"/>
        <w:spacing w:before="156" w:after="156"/>
        <w:rPr>
          <w:rFonts w:ascii="仿宋" w:hAnsi="仿宋" w:eastAsia="仿宋" w:cs="仿宋_GB2312"/>
          <w:sz w:val="32"/>
          <w:szCs w:val="32"/>
        </w:rPr>
        <w:sectPr>
          <w:pgSz w:w="11906" w:h="16838"/>
          <w:pgMar w:top="1440" w:right="1797" w:bottom="1440" w:left="1797" w:header="851" w:footer="680" w:gutter="0"/>
          <w:cols w:space="425" w:num="1"/>
          <w:titlePg/>
          <w:docGrid w:type="lines" w:linePitch="312" w:charSpace="0"/>
        </w:sectPr>
      </w:pPr>
      <w:bookmarkStart w:id="16" w:name="_Toc207768208"/>
    </w:p>
    <w:p>
      <w:pPr>
        <w:pStyle w:val="2"/>
        <w:spacing w:before="156" w:after="156"/>
        <w:ind w:firstLine="0" w:firstLineChars="0"/>
        <w:rPr>
          <w:rFonts w:cs="黑体"/>
          <w:sz w:val="32"/>
          <w:szCs w:val="32"/>
        </w:rPr>
      </w:pPr>
      <w:bookmarkStart w:id="17" w:name="_Toc46753165"/>
      <w:r>
        <w:rPr>
          <w:rFonts w:hint="eastAsia" w:cs="黑体"/>
          <w:sz w:val="32"/>
          <w:szCs w:val="32"/>
        </w:rPr>
        <w:t>附录3</w:t>
      </w:r>
      <w:bookmarkEnd w:id="17"/>
    </w:p>
    <w:bookmarkEnd w:id="16"/>
    <w:p>
      <w:pPr>
        <w:spacing w:line="240" w:lineRule="auto"/>
        <w:ind w:firstLine="0" w:firstLineChars="0"/>
        <w:jc w:val="center"/>
        <w:rPr>
          <w:rFonts w:cs="仿宋_GB2312"/>
          <w:b/>
          <w:sz w:val="32"/>
          <w:szCs w:val="32"/>
        </w:rPr>
      </w:pPr>
      <w:r>
        <w:rPr>
          <w:rFonts w:hint="eastAsia" w:ascii="方正小标宋简体" w:hAnsi="方正小标宋简体" w:eastAsia="方正小标宋简体" w:cs="方正小标宋简体"/>
          <w:bCs/>
          <w:sz w:val="44"/>
          <w:szCs w:val="44"/>
        </w:rPr>
        <w:t>化妆品防腐效能评价方法操作程序</w:t>
      </w:r>
    </w:p>
    <w:p>
      <w:pPr>
        <w:spacing w:line="240" w:lineRule="auto"/>
        <w:ind w:firstLine="562"/>
        <w:jc w:val="center"/>
        <w:outlineLvl w:val="0"/>
        <w:rPr>
          <w:b/>
          <w:szCs w:val="28"/>
        </w:rPr>
      </w:pPr>
    </w:p>
    <w:p>
      <w:pPr>
        <w:ind w:firstLine="560"/>
      </w:pPr>
      <w:r>
        <w:rPr>
          <w:rFonts w:hint="eastAsia"/>
        </w:rPr>
        <w:t>微生物挑战性实验可采用单一培养或混合培养方式。单一培养即分别接种每种测试菌株的菌悬液于测试化妆品中，在接种后的一定时间内对化妆品中的微生物进行平板计数，以此判断防腐剂的防腐效能。混合培养为将几种细菌或真菌的混合液接种于化妆品中，在接种后一定时间内，测定化妆品的菌落数，以此判断防腐剂的防腐效能。化妆品防腐效能评价者可根据实际情况选择培养方式。</w:t>
      </w:r>
    </w:p>
    <w:p>
      <w:pPr>
        <w:ind w:firstLine="560"/>
      </w:pPr>
      <w:r>
        <w:rPr>
          <w:rFonts w:hint="eastAsia"/>
        </w:rPr>
        <w:t>微生物挑战性实验测试菌株的选用原则为：1.包括革兰氏阳性和阴性细菌；2.酵母菌和霉菌至少各一种；3.测试菌株对各种常用防腐剂抵抗性能代表化妆品高危污染微生物对该防腐剂的抵抗性；4.可根据化妆品的性质，生产、使用环境等增加菌株。一般较常用的菌株为金黄色葡萄球菌、大肠杆菌、铜绿假单胞菌、白假丝酵母菌和巴西曲霉等。</w:t>
      </w:r>
    </w:p>
    <w:p>
      <w:pPr>
        <w:ind w:firstLine="560"/>
      </w:pPr>
      <w:r>
        <w:rPr>
          <w:rFonts w:hint="eastAsia"/>
        </w:rPr>
        <w:t>检测时间：一般为在化妆品中加入微生物时（根据加入菌液浓度和化妆品质量/体积计算的理论浓度），以及第1、7、14、21、28天检测化妆品中的菌落数。</w:t>
      </w:r>
    </w:p>
    <w:p>
      <w:pPr>
        <w:ind w:firstLine="560"/>
      </w:pPr>
      <w:r>
        <w:rPr>
          <w:rFonts w:hint="eastAsia"/>
        </w:rPr>
        <w:t>检测方法：参考《规范》第五章 微生物检验方法。</w:t>
      </w:r>
    </w:p>
    <w:p>
      <w:pPr>
        <w:ind w:firstLine="560"/>
      </w:pPr>
      <w:r>
        <w:rPr>
          <w:rFonts w:hint="eastAsia"/>
        </w:rPr>
        <w:t>判定标准：细菌于第7天时菌落总数下降99.9%，至第28天时无增长；真菌于第14天下降99.0%，至28天时无增长，判断为防腐效果良好。</w:t>
      </w:r>
    </w:p>
    <w:p>
      <w:pPr>
        <w:ind w:firstLine="560"/>
        <w:rPr>
          <w:rFonts w:ascii="仿宋" w:hAnsi="仿宋" w:eastAsia="仿宋"/>
          <w:szCs w:val="28"/>
        </w:rPr>
      </w:pPr>
      <w:r>
        <w:rPr>
          <w:rFonts w:hint="eastAsia"/>
        </w:rPr>
        <w:t>对于能够保证化妆品产品微生物质量合格，且在使用过程中不存在二次污染的化妆品可以不进行微生物挑战性实验。</w:t>
      </w:r>
    </w:p>
    <w:p>
      <w:pPr>
        <w:spacing w:before="312" w:beforeLines="100" w:after="312" w:afterLines="100" w:line="240" w:lineRule="auto"/>
        <w:ind w:firstLine="72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化妆品防腐效能评价方法</w:t>
      </w:r>
    </w:p>
    <w:p>
      <w:pPr>
        <w:spacing w:before="156" w:beforeLines="50" w:after="156" w:afterLines="50" w:line="240" w:lineRule="auto"/>
        <w:ind w:firstLine="600"/>
        <w:rPr>
          <w:rFonts w:ascii="黑体" w:hAnsi="黑体" w:eastAsia="黑体"/>
          <w:b/>
          <w:sz w:val="30"/>
          <w:szCs w:val="30"/>
        </w:rPr>
      </w:pPr>
      <w:r>
        <w:rPr>
          <w:rFonts w:ascii="黑体" w:hAnsi="黑体" w:eastAsia="黑体"/>
          <w:sz w:val="30"/>
          <w:szCs w:val="30"/>
        </w:rPr>
        <w:t>1</w:t>
      </w:r>
      <w:r>
        <w:rPr>
          <w:rFonts w:hint="eastAsia" w:ascii="黑体" w:hAnsi="黑体" w:eastAsia="黑体"/>
          <w:sz w:val="30"/>
          <w:szCs w:val="30"/>
        </w:rPr>
        <w:t>．定义</w:t>
      </w:r>
      <w:r>
        <w:rPr>
          <w:rFonts w:ascii="黑体" w:hAnsi="黑体" w:eastAsia="黑体"/>
          <w:sz w:val="30"/>
          <w:szCs w:val="30"/>
        </w:rPr>
        <w:t xml:space="preserve"> </w:t>
      </w:r>
    </w:p>
    <w:p>
      <w:pPr>
        <w:ind w:firstLine="560"/>
      </w:pPr>
      <w:r>
        <w:rPr>
          <w:rFonts w:hint="eastAsia"/>
        </w:rPr>
        <w:t>微生物挑战性实验：将一定量的微生物加入到化妆品中，每隔一定时间检测微生物增减的数量，以此来判断防腐剂防腐效能的实验方法。</w:t>
      </w:r>
    </w:p>
    <w:p>
      <w:pPr>
        <w:spacing w:before="156" w:beforeLines="50" w:after="156" w:afterLines="50" w:line="240" w:lineRule="auto"/>
        <w:ind w:firstLine="600"/>
        <w:rPr>
          <w:rFonts w:ascii="黑体" w:hAnsi="黑体" w:eastAsia="黑体"/>
          <w:sz w:val="30"/>
          <w:szCs w:val="30"/>
        </w:rPr>
      </w:pPr>
      <w:r>
        <w:rPr>
          <w:rFonts w:ascii="黑体" w:hAnsi="黑体" w:eastAsia="黑体"/>
          <w:sz w:val="30"/>
          <w:szCs w:val="30"/>
        </w:rPr>
        <w:t>2</w:t>
      </w:r>
      <w:r>
        <w:rPr>
          <w:rFonts w:hint="eastAsia" w:ascii="黑体" w:hAnsi="黑体" w:eastAsia="黑体"/>
          <w:sz w:val="30"/>
          <w:szCs w:val="30"/>
        </w:rPr>
        <w:t>．仪器设备</w:t>
      </w:r>
    </w:p>
    <w:p>
      <w:pPr>
        <w:ind w:firstLine="560"/>
      </w:pPr>
      <w:r>
        <w:rPr>
          <w:rFonts w:hint="eastAsia"/>
        </w:rPr>
        <w:t>2.1 生物安全柜</w:t>
      </w:r>
    </w:p>
    <w:p>
      <w:pPr>
        <w:ind w:firstLine="560"/>
      </w:pPr>
      <w:r>
        <w:rPr>
          <w:rFonts w:hint="eastAsia"/>
        </w:rPr>
        <w:t>2.2 高压蒸汽灭菌器</w:t>
      </w:r>
    </w:p>
    <w:p>
      <w:pPr>
        <w:ind w:firstLine="560"/>
      </w:pPr>
      <w:r>
        <w:rPr>
          <w:rFonts w:hint="eastAsia"/>
        </w:rPr>
        <w:t>2.3 冰箱</w:t>
      </w:r>
    </w:p>
    <w:p>
      <w:pPr>
        <w:ind w:firstLine="560"/>
      </w:pPr>
      <w:r>
        <w:rPr>
          <w:rFonts w:hint="eastAsia"/>
        </w:rPr>
        <w:t>2.4 恒温培养箱</w:t>
      </w:r>
    </w:p>
    <w:p>
      <w:pPr>
        <w:ind w:firstLine="560"/>
      </w:pPr>
      <w:r>
        <w:rPr>
          <w:rFonts w:hint="eastAsia"/>
        </w:rPr>
        <w:t>2.5 均质器</w:t>
      </w:r>
    </w:p>
    <w:p>
      <w:pPr>
        <w:ind w:firstLine="560"/>
      </w:pPr>
      <w:r>
        <w:rPr>
          <w:rFonts w:hint="eastAsia"/>
        </w:rPr>
        <w:t>2.6天平</w:t>
      </w:r>
    </w:p>
    <w:p>
      <w:pPr>
        <w:spacing w:before="156" w:beforeLines="50" w:after="156" w:afterLines="50" w:line="240" w:lineRule="auto"/>
        <w:ind w:firstLine="600"/>
        <w:rPr>
          <w:rFonts w:ascii="黑体" w:hAnsi="黑体" w:eastAsia="黑体"/>
          <w:sz w:val="30"/>
          <w:szCs w:val="30"/>
        </w:rPr>
      </w:pPr>
      <w:r>
        <w:rPr>
          <w:rFonts w:ascii="黑体" w:hAnsi="黑体" w:eastAsia="黑体"/>
          <w:sz w:val="30"/>
          <w:szCs w:val="30"/>
        </w:rPr>
        <w:t>3.试剂和培养基</w:t>
      </w:r>
    </w:p>
    <w:p>
      <w:pPr>
        <w:ind w:firstLine="560"/>
      </w:pPr>
      <w:r>
        <w:rPr>
          <w:rFonts w:hint="eastAsia"/>
        </w:rPr>
        <w:t>3.1 0.85%生理盐水</w:t>
      </w:r>
    </w:p>
    <w:p>
      <w:pPr>
        <w:ind w:firstLine="560"/>
      </w:pPr>
      <w:r>
        <w:rPr>
          <w:rFonts w:hint="eastAsia"/>
        </w:rPr>
        <w:t>3.2 含0.05%吐温80的生理盐水</w:t>
      </w:r>
    </w:p>
    <w:p>
      <w:pPr>
        <w:ind w:firstLine="560"/>
      </w:pPr>
      <w:r>
        <w:rPr>
          <w:rFonts w:hint="eastAsia"/>
        </w:rPr>
        <w:t>3.3 改良的 LETHEEN 肉汤</w:t>
      </w:r>
    </w:p>
    <w:p>
      <w:pPr>
        <w:ind w:firstLine="560"/>
      </w:pPr>
      <w:r>
        <w:rPr>
          <w:rFonts w:hint="eastAsia"/>
        </w:rPr>
        <w:t>3.4水解大豆琼脂培养基（TSA）</w:t>
      </w:r>
    </w:p>
    <w:p>
      <w:pPr>
        <w:ind w:firstLine="560"/>
      </w:pPr>
      <w:r>
        <w:rPr>
          <w:rFonts w:hint="eastAsia"/>
        </w:rPr>
        <w:t>3.5萨布罗右旋糖琼脂培养基(SDA)</w:t>
      </w:r>
    </w:p>
    <w:p>
      <w:pPr>
        <w:spacing w:before="156" w:beforeLines="50" w:after="156" w:afterLines="50" w:line="240" w:lineRule="auto"/>
        <w:ind w:firstLine="600"/>
        <w:rPr>
          <w:rFonts w:ascii="黑体" w:hAnsi="黑体" w:eastAsia="黑体"/>
          <w:sz w:val="30"/>
          <w:szCs w:val="30"/>
        </w:rPr>
      </w:pPr>
      <w:r>
        <w:rPr>
          <w:rFonts w:ascii="黑体" w:hAnsi="黑体" w:eastAsia="黑体"/>
          <w:sz w:val="30"/>
          <w:szCs w:val="30"/>
        </w:rPr>
        <w:t>4.实验菌株</w:t>
      </w:r>
    </w:p>
    <w:p>
      <w:pPr>
        <w:ind w:firstLine="560"/>
      </w:pPr>
      <w:r>
        <w:rPr>
          <w:rFonts w:hint="eastAsia"/>
        </w:rPr>
        <w:t>4.1细菌：金黄色葡萄球菌ATCC6538，大肠杆菌ATCC8739，铜绿色假单胞菌ATCC9027等。</w:t>
      </w:r>
    </w:p>
    <w:p>
      <w:pPr>
        <w:ind w:firstLine="560"/>
      </w:pPr>
      <w:r>
        <w:rPr>
          <w:rFonts w:hint="eastAsia"/>
        </w:rPr>
        <w:t>4.2真菌：巴西曲霉ATCC16404，白假丝酵母ATCC10231等。</w:t>
      </w:r>
    </w:p>
    <w:p>
      <w:pPr>
        <w:ind w:firstLine="560"/>
      </w:pPr>
      <w:r>
        <w:rPr>
          <w:rFonts w:hint="eastAsia"/>
        </w:rPr>
        <w:t>根据实际情况可增加其他细菌作为测试菌株。</w:t>
      </w:r>
    </w:p>
    <w:p>
      <w:pPr>
        <w:spacing w:before="156" w:beforeLines="50" w:after="156" w:afterLines="50" w:line="240" w:lineRule="auto"/>
        <w:ind w:firstLine="600"/>
        <w:rPr>
          <w:rFonts w:ascii="黑体" w:hAnsi="黑体" w:eastAsia="黑体"/>
          <w:sz w:val="30"/>
          <w:szCs w:val="30"/>
        </w:rPr>
      </w:pPr>
      <w:r>
        <w:rPr>
          <w:rFonts w:ascii="黑体" w:hAnsi="黑体" w:eastAsia="黑体"/>
          <w:sz w:val="30"/>
          <w:szCs w:val="30"/>
        </w:rPr>
        <w:t>5.实验方法（混合培养法）</w:t>
      </w:r>
    </w:p>
    <w:p>
      <w:pPr>
        <w:ind w:firstLine="560"/>
      </w:pPr>
      <w:r>
        <w:rPr>
          <w:rFonts w:hint="eastAsia"/>
        </w:rPr>
        <w:t>5.1样品准备：取包装完好的待测化妆品样品2份，在无菌条件下各称取30g于灭菌试剂瓶中，备用。</w:t>
      </w:r>
    </w:p>
    <w:p>
      <w:pPr>
        <w:ind w:firstLine="560"/>
      </w:pPr>
      <w:r>
        <w:rPr>
          <w:rFonts w:hint="eastAsia"/>
        </w:rPr>
        <w:t>5.2细菌悬浊液的制备：使用灭菌生理盐水制备测试菌株的菌悬液，浓度均为10</w:t>
      </w:r>
      <w:r>
        <w:rPr>
          <w:vertAlign w:val="superscript"/>
        </w:rPr>
        <w:t>8</w:t>
      </w:r>
      <w:r>
        <w:rPr>
          <w:rFonts w:hint="eastAsia"/>
        </w:rPr>
        <w:t>cfu/mL。取每种测试菌株菌悬液等体积混合，备用。</w:t>
      </w:r>
    </w:p>
    <w:p>
      <w:pPr>
        <w:ind w:firstLine="560"/>
      </w:pPr>
      <w:r>
        <w:rPr>
          <w:rFonts w:hint="eastAsia"/>
        </w:rPr>
        <w:t>5.3真菌悬浊液的制备：使用灭菌生理盐水制备白色假丝酵母菌悬液，使用含0.05%吐温80的灭菌生理盐水制备巴西曲霉孢子悬液，浓度均为10</w:t>
      </w:r>
      <w:r>
        <w:rPr>
          <w:vertAlign w:val="superscript"/>
        </w:rPr>
        <w:t>8</w:t>
      </w:r>
      <w:r>
        <w:rPr>
          <w:rFonts w:hint="eastAsia"/>
        </w:rPr>
        <w:t>cfu/mL。取每种测试菌株菌悬液等体积混合，备用。</w:t>
      </w:r>
    </w:p>
    <w:p>
      <w:pPr>
        <w:ind w:firstLine="560"/>
      </w:pPr>
      <w:r>
        <w:rPr>
          <w:rFonts w:hint="eastAsia"/>
        </w:rPr>
        <w:t>5.4菌液接种及样品检测：取上述称量好的化妆品（30g），分别加入0.3mL混合细菌悬浊液和0.3mL混合真菌悬浊液，用旋涡振荡器混合均匀，将样品于室温（22.5+2.5℃）保存。分别于0、1、7、14、21、28天检测化妆品中的菌落数，即取1g或1mL待测样品加入到9mL改良的LETHEEN肉汤中，充分混匀稀释成适宜的倍数，检测样品中菌落数。细菌培养推荐采用TSA培养基，36℃±1℃培养48h计数；白色假丝酵母和巴西曲霉培养推荐采用SDA培养基，28℃±2℃培养3-5天计数。每次检测做两个平行样。</w:t>
      </w:r>
    </w:p>
    <w:p>
      <w:pPr>
        <w:ind w:firstLine="560"/>
      </w:pPr>
      <w:r>
        <w:rPr>
          <w:rFonts w:hint="eastAsia"/>
        </w:rPr>
        <w:t>5.5结果计数：按《规范》中菌落计数方法进行计数。</w:t>
      </w:r>
    </w:p>
    <w:p>
      <w:pPr>
        <w:ind w:firstLine="560"/>
      </w:pPr>
      <w:r>
        <w:t>5.6</w:t>
      </w:r>
      <w:r>
        <w:rPr>
          <w:rFonts w:hint="eastAsia"/>
        </w:rPr>
        <w:t>评价方法</w:t>
      </w:r>
      <w:r>
        <w:t xml:space="preserve"> </w:t>
      </w:r>
    </w:p>
    <w:p>
      <w:pPr>
        <w:ind w:firstLine="560"/>
      </w:pPr>
      <w:r>
        <mc:AlternateContent>
          <mc:Choice Requires="wps">
            <w:drawing>
              <wp:anchor distT="0" distB="0" distL="114300" distR="114300" simplePos="0" relativeHeight="251755520" behindDoc="0" locked="0" layoutInCell="1" allowOverlap="1">
                <wp:simplePos x="0" y="0"/>
                <wp:positionH relativeFrom="column">
                  <wp:posOffset>1993900</wp:posOffset>
                </wp:positionH>
                <wp:positionV relativeFrom="paragraph">
                  <wp:posOffset>-635</wp:posOffset>
                </wp:positionV>
                <wp:extent cx="807720" cy="603250"/>
                <wp:effectExtent l="0" t="0" r="0" b="635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7522" cy="603250"/>
                        </a:xfrm>
                        <a:prstGeom prst="rect">
                          <a:avLst/>
                        </a:prstGeom>
                        <a:solidFill>
                          <a:srgbClr val="FFFFFF"/>
                        </a:solidFill>
                        <a:ln>
                          <a:noFill/>
                        </a:ln>
                      </wps:spPr>
                      <wps:txbx>
                        <w:txbxContent>
                          <w:p>
                            <w:pPr>
                              <w:ind w:firstLine="0" w:firstLineChars="0"/>
                              <w:rPr>
                                <w:sz w:val="24"/>
                                <w:szCs w:val="24"/>
                                <w:u w:val="single"/>
                              </w:rPr>
                            </w:pPr>
                            <w:r>
                              <w:rPr>
                                <w:rFonts w:hint="eastAsia"/>
                                <w:sz w:val="24"/>
                                <w:szCs w:val="24"/>
                                <w:u w:val="single"/>
                              </w:rPr>
                              <w:t>（</w:t>
                            </w:r>
                            <w:r>
                              <w:rPr>
                                <w:sz w:val="24"/>
                                <w:szCs w:val="24"/>
                                <w:u w:val="single"/>
                              </w:rPr>
                              <w:t>A</w:t>
                            </w:r>
                            <w:r>
                              <w:rPr>
                                <w:sz w:val="24"/>
                                <w:szCs w:val="24"/>
                                <w:u w:val="single"/>
                                <w:vertAlign w:val="subscript"/>
                              </w:rPr>
                              <w:t>0</w:t>
                            </w:r>
                            <w:r>
                              <w:rPr>
                                <w:sz w:val="24"/>
                                <w:szCs w:val="24"/>
                                <w:u w:val="single"/>
                              </w:rPr>
                              <w:t>-A</w:t>
                            </w:r>
                            <w:r>
                              <w:rPr>
                                <w:sz w:val="24"/>
                                <w:szCs w:val="24"/>
                                <w:u w:val="single"/>
                                <w:vertAlign w:val="subscript"/>
                              </w:rPr>
                              <w:t>n</w:t>
                            </w:r>
                            <w:r>
                              <w:rPr>
                                <w:rFonts w:hint="eastAsia"/>
                                <w:sz w:val="24"/>
                                <w:szCs w:val="24"/>
                                <w:u w:val="single"/>
                              </w:rPr>
                              <w:t>）</w:t>
                            </w:r>
                          </w:p>
                          <w:p>
                            <w:pPr>
                              <w:ind w:firstLine="240" w:firstLineChars="100"/>
                              <w:rPr>
                                <w:sz w:val="24"/>
                                <w:szCs w:val="24"/>
                              </w:rPr>
                            </w:pPr>
                            <w:r>
                              <w:rPr>
                                <w:sz w:val="24"/>
                                <w:szCs w:val="24"/>
                              </w:rPr>
                              <w:t xml:space="preserve"> A</w:t>
                            </w:r>
                            <w:r>
                              <w:rPr>
                                <w:sz w:val="24"/>
                                <w:szCs w:val="24"/>
                                <w:vertAlign w:val="subscript"/>
                              </w:rPr>
                              <w:t>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pt;margin-top:-0.05pt;height:47.5pt;width:63.6pt;z-index:251755520;mso-width-relative:page;mso-height-relative:page;" fillcolor="#FFFFFF" filled="t" stroked="f" coordsize="21600,21600" o:gfxdata="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2mLIvXAAAACAEAAA8AAAAAAAAA&#10;AQAgAAAAIgAAAGRycy9kb3ducmV2LnhtbFBLAQIUABQAAAAIAIdO4kC4vSSYEgIAAPEDAAAOAAAA&#10;AAAAAAEAIAAAACYBAABkcnMvZTJvRG9jLnhtbFBLBQYAAAAABgAGAFkBAACqBQAAAAA=&#10;">
                <v:fill on="t" focussize="0,0"/>
                <v:stroke on="f"/>
                <v:imagedata o:title=""/>
                <o:lock v:ext="edit" aspectratio="f"/>
                <v:textbox>
                  <w:txbxContent>
                    <w:p>
                      <w:pPr>
                        <w:ind w:firstLine="0" w:firstLineChars="0"/>
                        <w:rPr>
                          <w:sz w:val="24"/>
                          <w:szCs w:val="24"/>
                          <w:u w:val="single"/>
                        </w:rPr>
                      </w:pPr>
                      <w:r>
                        <w:rPr>
                          <w:rFonts w:hint="eastAsia"/>
                          <w:sz w:val="24"/>
                          <w:szCs w:val="24"/>
                          <w:u w:val="single"/>
                        </w:rPr>
                        <w:t>（</w:t>
                      </w:r>
                      <w:r>
                        <w:rPr>
                          <w:sz w:val="24"/>
                          <w:szCs w:val="24"/>
                          <w:u w:val="single"/>
                        </w:rPr>
                        <w:t>A</w:t>
                      </w:r>
                      <w:r>
                        <w:rPr>
                          <w:sz w:val="24"/>
                          <w:szCs w:val="24"/>
                          <w:u w:val="single"/>
                          <w:vertAlign w:val="subscript"/>
                        </w:rPr>
                        <w:t>0</w:t>
                      </w:r>
                      <w:r>
                        <w:rPr>
                          <w:sz w:val="24"/>
                          <w:szCs w:val="24"/>
                          <w:u w:val="single"/>
                        </w:rPr>
                        <w:t>-A</w:t>
                      </w:r>
                      <w:r>
                        <w:rPr>
                          <w:sz w:val="24"/>
                          <w:szCs w:val="24"/>
                          <w:u w:val="single"/>
                          <w:vertAlign w:val="subscript"/>
                        </w:rPr>
                        <w:t>n</w:t>
                      </w:r>
                      <w:r>
                        <w:rPr>
                          <w:rFonts w:hint="eastAsia"/>
                          <w:sz w:val="24"/>
                          <w:szCs w:val="24"/>
                          <w:u w:val="single"/>
                        </w:rPr>
                        <w:t>）</w:t>
                      </w:r>
                    </w:p>
                    <w:p>
                      <w:pPr>
                        <w:ind w:firstLine="240" w:firstLineChars="100"/>
                        <w:rPr>
                          <w:sz w:val="24"/>
                          <w:szCs w:val="24"/>
                        </w:rPr>
                      </w:pPr>
                      <w:r>
                        <w:rPr>
                          <w:sz w:val="24"/>
                          <w:szCs w:val="24"/>
                        </w:rPr>
                        <w:t xml:space="preserve"> A</w:t>
                      </w:r>
                      <w:r>
                        <w:rPr>
                          <w:sz w:val="24"/>
                          <w:szCs w:val="24"/>
                          <w:vertAlign w:val="subscript"/>
                        </w:rPr>
                        <w:t>0</w:t>
                      </w:r>
                    </w:p>
                  </w:txbxContent>
                </v:textbox>
              </v:shape>
            </w:pict>
          </mc:Fallback>
        </mc:AlternateContent>
      </w:r>
      <w:r>
        <w:rPr>
          <w:rFonts w:hint="eastAsia"/>
        </w:rPr>
        <w:t>菌落数下降的百分数（</w:t>
      </w:r>
      <w:r>
        <w:t>%）=</w:t>
      </w:r>
      <w:r>
        <w:rPr>
          <w:rFonts w:hint="eastAsia"/>
        </w:rPr>
        <w:t xml:space="preserve">   ×100%</w:t>
      </w:r>
    </w:p>
    <w:p>
      <w:pPr>
        <w:ind w:firstLine="560"/>
      </w:pPr>
      <w:r>
        <w:rPr>
          <w:rFonts w:hint="eastAsia"/>
        </w:rPr>
        <w:t>式中：</w:t>
      </w:r>
    </w:p>
    <w:p>
      <w:pPr>
        <w:ind w:firstLine="560"/>
      </w:pPr>
      <w:r>
        <w:t>A</w:t>
      </w:r>
      <w:r>
        <w:rPr>
          <w:vertAlign w:val="subscript"/>
        </w:rPr>
        <w:t>0</w:t>
      </w:r>
      <w:r>
        <w:rPr>
          <w:rFonts w:hint="eastAsia"/>
        </w:rPr>
        <w:t>──为初始加入微生物时化妆品中微生物的含量，单位为</w:t>
      </w:r>
      <w:r>
        <w:t>cfu/g或cfu/mL；</w:t>
      </w:r>
    </w:p>
    <w:p>
      <w:pPr>
        <w:ind w:firstLine="560"/>
      </w:pPr>
      <w:r>
        <w:t>A</w:t>
      </w:r>
      <w:r>
        <w:rPr>
          <w:vertAlign w:val="subscript"/>
        </w:rPr>
        <w:t>n</w:t>
      </w:r>
      <w:r>
        <w:t>──为不同检测时间化妆品中微生物的含量，单位为cfu/g或cfu/mL。</w:t>
      </w:r>
    </w:p>
    <w:p>
      <w:pPr>
        <w:ind w:firstLine="560"/>
      </w:pPr>
      <w:r>
        <w:rPr>
          <w:rFonts w:hint="eastAsia"/>
        </w:rPr>
        <w:t>根据不同检测时间菌落数下降的百分数评价化妆品的防腐效果。</w:t>
      </w:r>
    </w:p>
    <w:p>
      <w:pPr>
        <w:widowControl/>
        <w:spacing w:line="240" w:lineRule="auto"/>
        <w:ind w:firstLine="0" w:firstLineChars="0"/>
        <w:jc w:val="left"/>
        <w:rPr>
          <w:rFonts w:ascii="仿宋" w:hAnsi="仿宋" w:eastAsia="仿宋"/>
          <w:szCs w:val="28"/>
        </w:rPr>
      </w:pPr>
      <w:r>
        <w:rPr>
          <w:rFonts w:ascii="仿宋" w:hAnsi="仿宋" w:eastAsia="仿宋"/>
          <w:szCs w:val="28"/>
        </w:rPr>
        <w:br w:type="page"/>
      </w:r>
    </w:p>
    <w:p>
      <w:pPr>
        <w:pStyle w:val="2"/>
        <w:spacing w:before="156" w:after="156"/>
        <w:ind w:firstLine="0" w:firstLineChars="0"/>
        <w:rPr>
          <w:rFonts w:ascii="方正小标宋简体" w:hAnsi="方正小标宋简体" w:eastAsia="方正小标宋简体" w:cs="方正小标宋简体"/>
          <w:sz w:val="36"/>
          <w:szCs w:val="36"/>
        </w:rPr>
      </w:pPr>
      <w:bookmarkStart w:id="18" w:name="_Toc46753166"/>
      <w:r>
        <w:rPr>
          <w:rFonts w:hint="eastAsia" w:cs="黑体"/>
          <w:sz w:val="32"/>
          <w:szCs w:val="32"/>
        </w:rPr>
        <w:t>附录4</w:t>
      </w:r>
      <w:bookmarkEnd w:id="18"/>
      <w:r>
        <w:rPr>
          <w:rFonts w:hint="eastAsia" w:ascii="方正小标宋简体" w:hAnsi="方正小标宋简体" w:eastAsia="方正小标宋简体" w:cs="方正小标宋简体"/>
          <w:sz w:val="36"/>
          <w:szCs w:val="36"/>
        </w:rPr>
        <w:t xml:space="preserve"> </w:t>
      </w:r>
    </w:p>
    <w:p>
      <w:pPr>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化妆品安全评估操作实施指南</w:t>
      </w:r>
    </w:p>
    <w:p>
      <w:pPr>
        <w:spacing w:line="240" w:lineRule="auto"/>
        <w:ind w:firstLine="560"/>
        <w:rPr>
          <w:rFonts w:cstheme="minorBidi"/>
        </w:rPr>
      </w:pPr>
      <w:r>
        <w:rPr>
          <w:rFonts w:hint="eastAsia" w:cstheme="minorBidi"/>
        </w:rPr>
        <w:t>为保障化妆品质量安全，做好化妆品安全评估工作，促进行业安全评估能力稳步提升，根据《化妆品监督管理条例》和《化妆品安全评估技术导则》等有关规定，结合化妆品行业现状，制定此操作指南。</w:t>
      </w:r>
    </w:p>
    <w:p>
      <w:pPr>
        <w:spacing w:line="240" w:lineRule="auto"/>
        <w:ind w:firstLine="560"/>
        <w:rPr>
          <w:rFonts w:cstheme="minorBidi"/>
          <w:szCs w:val="28"/>
        </w:rPr>
      </w:pPr>
      <w:r>
        <w:rPr>
          <w:rFonts w:hint="eastAsia" w:cstheme="minorBidi"/>
          <w:szCs w:val="28"/>
        </w:rPr>
        <w:t>与欧美发达国家相比，我国化妆品行业整体安全评价水平还有差距，因此在过渡期内，《产品配方整体安全分析》（具体见示例1）可作为化妆品产品安全评估资料，用于保障化妆品的质量安全。</w:t>
      </w:r>
    </w:p>
    <w:p>
      <w:pPr>
        <w:spacing w:line="240" w:lineRule="auto"/>
        <w:ind w:firstLine="560"/>
        <w:rPr>
          <w:rFonts w:ascii="黑体" w:hAnsi="黑体" w:eastAsia="黑体" w:cstheme="minorBidi"/>
        </w:rPr>
      </w:pPr>
      <w:r>
        <w:rPr>
          <w:rFonts w:hint="eastAsia" w:ascii="黑体" w:hAnsi="黑体" w:eastAsia="黑体" w:cstheme="minorBidi"/>
        </w:rPr>
        <w:t>一、《产品配方整体安全分析》的主要内容</w:t>
      </w:r>
    </w:p>
    <w:p>
      <w:pPr>
        <w:spacing w:line="240" w:lineRule="auto"/>
        <w:ind w:firstLine="560"/>
        <w:rPr>
          <w:rFonts w:cstheme="minorBidi"/>
        </w:rPr>
      </w:pPr>
      <w:r>
        <w:rPr>
          <w:rFonts w:hint="eastAsia" w:cstheme="minorBidi"/>
        </w:rPr>
        <w:t>《产品配方整体安全分析》是根据《化妆品安全技术规范》（2015年版）、权威机构的评估结果、原料历史使用浓度、化妆品监管部门公布的原料最高历史使用量等不同证据类型，对产品配方进行分析以确定其安全性，在过渡期内可作为化妆品产品安全评估资料用于保障化妆品的质量安全。主要内容包括：</w:t>
      </w:r>
      <w:r>
        <w:rPr>
          <w:rFonts w:cstheme="minorBidi"/>
        </w:rPr>
        <w:t xml:space="preserve"> </w:t>
      </w:r>
    </w:p>
    <w:p>
      <w:pPr>
        <w:spacing w:line="240" w:lineRule="auto"/>
        <w:ind w:firstLine="560"/>
        <w:rPr>
          <w:rFonts w:cstheme="minorBidi"/>
        </w:rPr>
      </w:pPr>
      <w:r>
        <w:rPr>
          <w:rFonts w:hint="eastAsia" w:cstheme="minorBidi"/>
        </w:rPr>
        <w:t>（一）摘要。</w:t>
      </w:r>
    </w:p>
    <w:p>
      <w:pPr>
        <w:spacing w:line="240" w:lineRule="auto"/>
        <w:ind w:firstLine="560"/>
        <w:rPr>
          <w:rFonts w:cstheme="minorBidi"/>
        </w:rPr>
      </w:pPr>
      <w:r>
        <w:rPr>
          <w:rFonts w:hint="eastAsia" w:cstheme="minorBidi"/>
        </w:rPr>
        <w:t>（二）产品简介。包括产品名称、使用方法、日均使用量、驻留因子、暴露剂量等。</w:t>
      </w:r>
    </w:p>
    <w:p>
      <w:pPr>
        <w:spacing w:line="240" w:lineRule="auto"/>
        <w:ind w:firstLine="560"/>
        <w:rPr>
          <w:rFonts w:cstheme="minorBidi"/>
        </w:rPr>
      </w:pPr>
      <w:r>
        <w:rPr>
          <w:rFonts w:hint="eastAsia" w:cstheme="minorBidi"/>
        </w:rPr>
        <w:t>（三）配方分析（仅针对于儿童产品）。</w:t>
      </w:r>
    </w:p>
    <w:p>
      <w:pPr>
        <w:spacing w:line="240" w:lineRule="auto"/>
        <w:ind w:firstLine="560"/>
        <w:rPr>
          <w:rFonts w:cstheme="minorBidi"/>
        </w:rPr>
      </w:pPr>
      <w:r>
        <w:rPr>
          <w:rFonts w:hint="eastAsia" w:cstheme="minorBidi"/>
        </w:rPr>
        <w:t>（四）配方中各成分的安全评估。包括产品中所有配方成分的标准中文名称、原料/成分在配方中的百分比、原料/成分风险评估情况等内容。</w:t>
      </w:r>
    </w:p>
    <w:p>
      <w:pPr>
        <w:spacing w:line="240" w:lineRule="auto"/>
        <w:ind w:firstLine="560"/>
        <w:rPr>
          <w:rFonts w:cstheme="minorBidi"/>
        </w:rPr>
      </w:pPr>
      <w:r>
        <w:rPr>
          <w:rFonts w:hint="eastAsia" w:cstheme="minorBidi"/>
        </w:rPr>
        <w:t>（五）可能存在的风险物质的安全评估。对产品可能含有的风险物质进行识别，并评估其安全性。</w:t>
      </w:r>
    </w:p>
    <w:p>
      <w:pPr>
        <w:spacing w:line="240" w:lineRule="auto"/>
        <w:ind w:firstLine="560"/>
        <w:rPr>
          <w:rFonts w:cstheme="minorBidi"/>
        </w:rPr>
      </w:pPr>
      <w:r>
        <w:rPr>
          <w:rFonts w:hint="eastAsia" w:cstheme="minorBidi"/>
        </w:rPr>
        <w:t>（六）安全评估结论。</w:t>
      </w:r>
    </w:p>
    <w:p>
      <w:pPr>
        <w:spacing w:line="240" w:lineRule="auto"/>
        <w:ind w:firstLine="560"/>
        <w:rPr>
          <w:rFonts w:cstheme="minorBidi"/>
        </w:rPr>
      </w:pPr>
      <w:r>
        <w:rPr>
          <w:rFonts w:hint="eastAsia" w:cstheme="minorBidi"/>
        </w:rPr>
        <w:t>（七）安全评估人员签名。</w:t>
      </w:r>
    </w:p>
    <w:p>
      <w:pPr>
        <w:spacing w:line="240" w:lineRule="auto"/>
        <w:ind w:firstLine="560"/>
        <w:rPr>
          <w:rFonts w:cstheme="minorBidi"/>
        </w:rPr>
      </w:pPr>
      <w:r>
        <w:rPr>
          <w:rFonts w:hint="eastAsia" w:cstheme="minorBidi"/>
        </w:rPr>
        <w:t>（八）安全评估人员简历。</w:t>
      </w:r>
    </w:p>
    <w:p>
      <w:pPr>
        <w:spacing w:line="240" w:lineRule="auto"/>
        <w:ind w:firstLine="560"/>
        <w:rPr>
          <w:rFonts w:cstheme="minorBidi"/>
        </w:rPr>
      </w:pPr>
      <w:r>
        <w:rPr>
          <w:rFonts w:hint="eastAsia" w:cstheme="minorBidi"/>
        </w:rPr>
        <w:t>（九）参考文献。</w:t>
      </w:r>
    </w:p>
    <w:p>
      <w:pPr>
        <w:spacing w:line="240" w:lineRule="auto"/>
        <w:ind w:firstLine="560"/>
        <w:rPr>
          <w:rFonts w:cstheme="minorBidi"/>
        </w:rPr>
      </w:pPr>
      <w:r>
        <w:rPr>
          <w:rFonts w:hint="eastAsia" w:cstheme="minorBidi"/>
        </w:rPr>
        <w:t>（十）附录</w:t>
      </w:r>
    </w:p>
    <w:p>
      <w:pPr>
        <w:spacing w:line="240" w:lineRule="auto"/>
        <w:ind w:firstLine="560"/>
        <w:rPr>
          <w:rFonts w:ascii="黑体" w:hAnsi="黑体" w:eastAsia="黑体" w:cstheme="minorBidi"/>
        </w:rPr>
      </w:pPr>
      <w:r>
        <w:rPr>
          <w:rFonts w:hint="eastAsia" w:ascii="黑体" w:hAnsi="黑体" w:eastAsia="黑体" w:cstheme="minorBidi"/>
        </w:rPr>
        <w:t>二、《产品配方整体安全分析》的证据类型</w:t>
      </w:r>
    </w:p>
    <w:p>
      <w:pPr>
        <w:spacing w:line="240" w:lineRule="auto"/>
        <w:ind w:firstLine="560"/>
        <w:rPr>
          <w:rFonts w:cstheme="minorBidi"/>
        </w:rPr>
      </w:pPr>
      <w:r>
        <w:rPr>
          <w:rFonts w:hint="eastAsia" w:cstheme="minorBidi"/>
        </w:rPr>
        <w:t>《产品配方整体安全分析》是依据不同证据类型，按照以下顺序依次对化妆品产品配方进行分析以确定其安全性。具体证据类型排序如下：</w:t>
      </w:r>
    </w:p>
    <w:p>
      <w:pPr>
        <w:spacing w:line="240" w:lineRule="auto"/>
        <w:ind w:firstLine="560"/>
        <w:rPr>
          <w:rFonts w:cstheme="minorBidi"/>
        </w:rPr>
      </w:pPr>
      <w:r>
        <w:rPr>
          <w:rFonts w:hint="eastAsia" w:cstheme="minorBidi"/>
        </w:rPr>
        <w:t>（一）《化妆品安全技术规范》中的限用组分、准用防腐剂、准用防晒剂、准用着色剂和准用染发剂列表中的原料。</w:t>
      </w:r>
    </w:p>
    <w:p>
      <w:pPr>
        <w:spacing w:line="240" w:lineRule="auto"/>
        <w:ind w:firstLine="560"/>
        <w:rPr>
          <w:rFonts w:cstheme="minorBidi"/>
        </w:rPr>
      </w:pPr>
      <w:r>
        <w:rPr>
          <w:rFonts w:hint="eastAsia" w:cstheme="minorBidi"/>
        </w:rPr>
        <w:t>（二）国内外权威机构[如世界卫生组织（WHO）、联合国粮农组织（FAO）、欧盟消费者安全科学委员会（SCCS）、美国化妆品原料评估委员会（CIR）等]已公布的安全限量或结论[如：化妆品安全使用结论、日允许摄入量、日耐受剂量、参考剂量、一般认为安全物质（GRAS）等]、国际日用香精协会（IFRA）已发布的香料原料标准等。</w:t>
      </w:r>
    </w:p>
    <w:p>
      <w:pPr>
        <w:spacing w:line="240" w:lineRule="auto"/>
        <w:ind w:firstLine="560"/>
        <w:rPr>
          <w:rFonts w:cstheme="minorBidi"/>
        </w:rPr>
      </w:pPr>
      <w:r>
        <w:rPr>
          <w:rFonts w:hint="eastAsia" w:cstheme="minorBidi"/>
        </w:rPr>
        <w:t>（三）原料历史使用浓度，是指原料在企业已上市（至少</w:t>
      </w:r>
      <w:r>
        <w:rPr>
          <w:rFonts w:cstheme="minorBidi"/>
        </w:rPr>
        <w:t>3</w:t>
      </w:r>
      <w:r>
        <w:rPr>
          <w:rFonts w:hint="eastAsia" w:cstheme="minorBidi"/>
        </w:rPr>
        <w:t>年）的相同使用方法产品中的浓度。证明文件包括：</w:t>
      </w:r>
      <w:r>
        <w:rPr>
          <w:rFonts w:cstheme="minorBidi"/>
        </w:rPr>
        <w:t>1</w:t>
      </w:r>
      <w:r>
        <w:rPr>
          <w:rFonts w:hint="eastAsia" w:cstheme="minorBidi"/>
        </w:rPr>
        <w:t>）国产特殊用途产品和进口产品递交的注册或备案配方（须与申报时提交配方一致）；行政许可批件或备案凭证；以及产品上市证明文件；</w:t>
      </w:r>
      <w:r>
        <w:rPr>
          <w:rFonts w:cstheme="minorBidi"/>
        </w:rPr>
        <w:t>2</w:t>
      </w:r>
      <w:r>
        <w:rPr>
          <w:rFonts w:hint="eastAsia" w:cstheme="minorBidi"/>
        </w:rPr>
        <w:t>）国产非特殊用途产品带原料含量或可计算原料含量的生产记录、工艺单、配料单；备案凭证；以及产品上市证明文件;3）不良反应监测情况说明。</w:t>
      </w:r>
    </w:p>
    <w:p>
      <w:pPr>
        <w:spacing w:line="240" w:lineRule="auto"/>
        <w:ind w:firstLine="560"/>
        <w:rPr>
          <w:rFonts w:cstheme="minorBidi"/>
        </w:rPr>
      </w:pPr>
      <w:r>
        <w:rPr>
          <w:rFonts w:hint="eastAsia" w:cstheme="minorBidi"/>
        </w:rPr>
        <w:t>（四）化妆品监管部门公布的原料最高历史使用量。</w:t>
      </w:r>
    </w:p>
    <w:p>
      <w:pPr>
        <w:spacing w:line="240" w:lineRule="auto"/>
        <w:ind w:firstLine="560"/>
        <w:rPr>
          <w:rFonts w:ascii="黑体" w:hAnsi="黑体" w:eastAsia="黑体" w:cstheme="minorBidi"/>
        </w:rPr>
      </w:pPr>
      <w:r>
        <w:rPr>
          <w:rFonts w:hint="eastAsia" w:ascii="黑体" w:hAnsi="黑体" w:eastAsia="黑体" w:cstheme="minorBidi"/>
        </w:rPr>
        <w:t>三、评估结论判定原则</w:t>
      </w:r>
    </w:p>
    <w:p>
      <w:pPr>
        <w:spacing w:line="240" w:lineRule="auto"/>
        <w:ind w:firstLine="560"/>
        <w:rPr>
          <w:rFonts w:cstheme="minorBidi"/>
        </w:rPr>
      </w:pPr>
      <w:r>
        <w:rPr>
          <w:rFonts w:hint="eastAsia" w:cstheme="minorBidi"/>
        </w:rPr>
        <w:t>（一）《化妆品安全技术规范》中有使用规定的原料，必须符合其使用要求。</w:t>
      </w:r>
    </w:p>
    <w:p>
      <w:pPr>
        <w:spacing w:line="240" w:lineRule="auto"/>
        <w:ind w:firstLine="560"/>
        <w:rPr>
          <w:rFonts w:cstheme="minorBidi"/>
        </w:rPr>
      </w:pPr>
      <w:r>
        <w:rPr>
          <w:rFonts w:hint="eastAsia" w:cstheme="minorBidi"/>
        </w:rPr>
        <w:t>（二）权威机构评估结论中所列的具有限制条件（如刺激性要求等）的原料，在采用该结论时应结合原料历史使用浓度、毒理学测试或人体临床测试结果，确保产品满足相应限制要求。</w:t>
      </w:r>
    </w:p>
    <w:p>
      <w:pPr>
        <w:spacing w:line="240" w:lineRule="auto"/>
        <w:ind w:firstLine="560"/>
        <w:rPr>
          <w:rFonts w:cstheme="minorBidi"/>
        </w:rPr>
      </w:pPr>
      <w:r>
        <w:rPr>
          <w:rFonts w:hint="eastAsia" w:cstheme="minorBidi"/>
        </w:rPr>
        <w:t>（三）只有系统毒性评估结论的原料，如一般认为安全物质（GRAS）原料、具有长期安全食用史的原料等，在采用该证据时应结合产品或原料历史使用浓度、毒理学测试结果或人体临床测试结果，对产品刺激性等局部毒性进行评估。</w:t>
      </w:r>
    </w:p>
    <w:p>
      <w:pPr>
        <w:spacing w:line="240" w:lineRule="auto"/>
        <w:ind w:firstLine="560"/>
        <w:rPr>
          <w:rFonts w:cstheme="minorBidi"/>
        </w:rPr>
      </w:pPr>
      <w:r>
        <w:rPr>
          <w:rFonts w:hint="eastAsia" w:cstheme="minorBidi"/>
        </w:rPr>
        <w:t>（四）同类产品配方中原料使用浓度应不高于原料历史使用浓度或化妆品监管部门公布的原料最高历史使用量。</w:t>
      </w:r>
    </w:p>
    <w:p>
      <w:pPr>
        <w:spacing w:line="240" w:lineRule="auto"/>
        <w:ind w:firstLine="560"/>
        <w:rPr>
          <w:rFonts w:cstheme="minorBidi"/>
        </w:rPr>
      </w:pPr>
      <w:r>
        <w:rPr>
          <w:rFonts w:hint="eastAsia" w:cstheme="minorBidi"/>
        </w:rPr>
        <w:t>（五）同类产品配方中原料使用浓度高于产品原料历史使用浓度或化妆品监管部门公布的原料最高历史使用量，应按照《化妆品安全评估技术导则》进行安全评估证明其安全性。</w:t>
      </w:r>
    </w:p>
    <w:p>
      <w:pPr>
        <w:spacing w:line="240" w:lineRule="auto"/>
        <w:ind w:firstLine="560"/>
        <w:rPr>
          <w:rFonts w:cstheme="minorBidi"/>
        </w:rPr>
      </w:pPr>
      <w:r>
        <w:rPr>
          <w:rFonts w:hint="eastAsia" w:cstheme="minorBidi"/>
        </w:rPr>
        <w:t>（六）对于普通化妆品，不同类型产品的原料历史使用浓度可相互参考，暴露量高和接触时间长的产品，可用于暴露量低和接触时间短的产品评估，但需要从目标人群、使用部位和使用方式等方面充分说明其合理性。</w:t>
      </w:r>
    </w:p>
    <w:p>
      <w:pPr>
        <w:spacing w:line="240" w:lineRule="auto"/>
        <w:ind w:firstLine="560"/>
        <w:rPr>
          <w:rFonts w:cstheme="minorBidi"/>
        </w:rPr>
      </w:pPr>
      <w:r>
        <w:rPr>
          <w:rFonts w:hint="eastAsia" w:cstheme="minorBidi"/>
        </w:rPr>
        <w:t>（七）对于无法使用任一证据类型的原料和风险物质，应按照《化妆品安全评估技术导则》进行评估证明其安全性。</w:t>
      </w:r>
    </w:p>
    <w:p>
      <w:pPr>
        <w:widowControl/>
        <w:spacing w:line="240" w:lineRule="auto"/>
        <w:ind w:firstLine="0" w:firstLineChars="0"/>
        <w:jc w:val="left"/>
        <w:rPr>
          <w:rFonts w:ascii="仿宋" w:hAnsi="仿宋" w:eastAsia="仿宋"/>
          <w:szCs w:val="28"/>
        </w:rPr>
      </w:pPr>
      <w:r>
        <w:rPr>
          <w:rFonts w:hint="eastAsia" w:ascii="仿宋" w:hAnsi="仿宋" w:eastAsia="仿宋"/>
          <w:szCs w:val="28"/>
        </w:rPr>
        <w:t xml:space="preserve">      为促进我国化妆品行业安全评价能力的逐步提升，积极鼓励注册人、备案人严格依据《化妆品安全评估技术导则》进行产品的安全评估，形成《产品安全评估报告》（具体见示例</w:t>
      </w:r>
      <w:r>
        <w:rPr>
          <w:rFonts w:ascii="仿宋" w:hAnsi="仿宋" w:eastAsia="仿宋"/>
          <w:szCs w:val="28"/>
        </w:rPr>
        <w:t>2）。</w:t>
      </w:r>
    </w:p>
    <w:p>
      <w:pPr>
        <w:widowControl/>
        <w:spacing w:line="240" w:lineRule="auto"/>
        <w:ind w:firstLine="840" w:firstLineChars="300"/>
        <w:jc w:val="left"/>
        <w:rPr>
          <w:rFonts w:ascii="仿宋" w:hAnsi="仿宋" w:eastAsia="仿宋"/>
          <w:szCs w:val="28"/>
        </w:rPr>
      </w:pPr>
      <w:r>
        <w:rPr>
          <w:rFonts w:hint="eastAsia" w:ascii="仿宋" w:hAnsi="仿宋" w:eastAsia="仿宋"/>
          <w:szCs w:val="28"/>
        </w:rPr>
        <w:t>示例：1、产品配方整体安全分析</w:t>
      </w:r>
    </w:p>
    <w:p>
      <w:pPr>
        <w:widowControl/>
        <w:spacing w:line="240" w:lineRule="auto"/>
        <w:ind w:firstLine="0" w:firstLineChars="0"/>
        <w:jc w:val="left"/>
        <w:rPr>
          <w:rFonts w:ascii="仿宋" w:hAnsi="仿宋" w:eastAsia="仿宋"/>
          <w:szCs w:val="28"/>
        </w:rPr>
      </w:pPr>
      <w:r>
        <w:rPr>
          <w:rFonts w:hint="eastAsia" w:ascii="仿宋" w:hAnsi="仿宋" w:eastAsia="仿宋"/>
          <w:szCs w:val="28"/>
        </w:rPr>
        <w:t xml:space="preserve">            2、产品安全评估报告</w:t>
      </w:r>
      <w:r>
        <w:rPr>
          <w:rFonts w:ascii="仿宋" w:hAnsi="仿宋" w:eastAsia="仿宋"/>
          <w:szCs w:val="28"/>
        </w:rPr>
        <w:br w:type="page"/>
      </w:r>
    </w:p>
    <w:p>
      <w:pPr>
        <w:spacing w:before="120" w:line="240" w:lineRule="auto"/>
        <w:ind w:firstLine="0" w:firstLineChars="0"/>
        <w:rPr>
          <w:rFonts w:ascii="黑体" w:hAnsi="黑体" w:eastAsia="黑体" w:cs="Arial"/>
          <w:sz w:val="32"/>
          <w:szCs w:val="32"/>
        </w:rPr>
      </w:pPr>
      <w:r>
        <w:rPr>
          <w:rFonts w:hint="eastAsia" w:ascii="黑体" w:hAnsi="黑体" w:eastAsia="黑体" w:cs="Arial"/>
          <w:sz w:val="32"/>
          <w:szCs w:val="32"/>
        </w:rPr>
        <w:t>示例1</w:t>
      </w:r>
    </w:p>
    <w:p>
      <w:pPr>
        <w:spacing w:before="120" w:line="240" w:lineRule="auto"/>
        <w:ind w:firstLine="0" w:firstLineChars="0"/>
        <w:rPr>
          <w:rFonts w:ascii="黑体" w:hAnsi="黑体" w:eastAsia="黑体" w:cs="Arial"/>
          <w:sz w:val="32"/>
          <w:szCs w:val="32"/>
        </w:rPr>
      </w:pPr>
    </w:p>
    <w:p>
      <w:pPr>
        <w:spacing w:before="120" w:line="240" w:lineRule="auto"/>
        <w:ind w:firstLine="0" w:firstLineChars="0"/>
        <w:rPr>
          <w:rFonts w:ascii="黑体" w:hAnsi="黑体" w:eastAsia="黑体" w:cs="Arial"/>
          <w:sz w:val="32"/>
          <w:szCs w:val="32"/>
        </w:rPr>
      </w:pPr>
    </w:p>
    <w:p>
      <w:pPr>
        <w:spacing w:before="120" w:line="240" w:lineRule="auto"/>
        <w:ind w:firstLine="0" w:firstLineChars="0"/>
        <w:rPr>
          <w:rFonts w:ascii="黑体" w:hAnsi="黑体" w:eastAsia="黑体" w:cs="Arial"/>
          <w:sz w:val="32"/>
          <w:szCs w:val="32"/>
        </w:rPr>
      </w:pPr>
    </w:p>
    <w:sdt>
      <w:sdtPr>
        <w:rPr>
          <w:rFonts w:hint="eastAsia" w:ascii="黑体" w:hAnsi="黑体" w:eastAsia="黑体" w:cs="Arial"/>
          <w:b/>
          <w:bCs/>
          <w:sz w:val="56"/>
          <w:szCs w:val="56"/>
        </w:rPr>
        <w:alias w:val="Title"/>
        <w:id w:val="15524250"/>
        <w:text/>
      </w:sdtPr>
      <w:sdtEndPr>
        <w:rPr>
          <w:rFonts w:hint="eastAsia" w:ascii="黑体" w:hAnsi="黑体" w:eastAsia="黑体" w:cs="Arial"/>
          <w:b/>
          <w:bCs/>
          <w:sz w:val="56"/>
          <w:szCs w:val="56"/>
        </w:rPr>
      </w:sdtEndPr>
      <w:sdtContent>
        <w:p>
          <w:pPr>
            <w:spacing w:before="120" w:line="240" w:lineRule="auto"/>
            <w:ind w:firstLine="0" w:firstLineChars="0"/>
            <w:jc w:val="center"/>
            <w:rPr>
              <w:rFonts w:cs="Arial"/>
            </w:rPr>
          </w:pPr>
          <w:r>
            <w:rPr>
              <w:rFonts w:hint="eastAsia" w:ascii="黑体" w:hAnsi="黑体" w:eastAsia="黑体" w:cs="Arial"/>
              <w:b/>
              <w:bCs/>
              <w:sz w:val="56"/>
              <w:szCs w:val="56"/>
            </w:rPr>
            <w:t>***产品配方整体安全分析</w:t>
          </w:r>
        </w:p>
      </w:sdtContent>
    </w:sdt>
    <w:p>
      <w:pPr>
        <w:spacing w:before="120" w:line="240" w:lineRule="auto"/>
        <w:ind w:firstLine="560"/>
        <w:jc w:val="right"/>
        <w:rPr>
          <w:rFonts w:cs="Arial"/>
        </w:rPr>
      </w:pPr>
      <w:r>
        <w:rPr>
          <w:rFonts w:cs="Arial"/>
        </w:rPr>
        <w:t xml:space="preserve">                                                          </w:t>
      </w:r>
      <w:r>
        <w:rPr>
          <w:rFonts w:hint="eastAsia" w:cs="Arial"/>
        </w:rPr>
        <w:t>注：本报告格式和内容仅供参考</w:t>
      </w:r>
    </w:p>
    <w:p>
      <w:pPr>
        <w:spacing w:before="120" w:line="240" w:lineRule="auto"/>
        <w:ind w:firstLine="560"/>
        <w:rPr>
          <w:rFonts w:cs="Arial"/>
        </w:rPr>
      </w:pPr>
    </w:p>
    <w:p>
      <w:pPr>
        <w:spacing w:before="120" w:line="240" w:lineRule="auto"/>
        <w:ind w:firstLine="560"/>
        <w:rPr>
          <w:rFonts w:cs="Arial"/>
        </w:rPr>
      </w:pPr>
    </w:p>
    <w:p>
      <w:pPr>
        <w:spacing w:before="120" w:line="240" w:lineRule="auto"/>
        <w:ind w:firstLine="0" w:firstLineChars="0"/>
        <w:jc w:val="center"/>
        <w:rPr>
          <w:rFonts w:cs="Arial"/>
          <w:szCs w:val="28"/>
          <w:u w:val="single"/>
        </w:rPr>
      </w:pPr>
      <w:r>
        <w:rPr>
          <w:rFonts w:hint="eastAsia" w:cs="Arial"/>
          <w:szCs w:val="28"/>
        </w:rPr>
        <w:t>公司名称：</w:t>
      </w:r>
      <w:r>
        <w:rPr>
          <w:rFonts w:cs="Arial"/>
          <w:szCs w:val="28"/>
          <w:u w:val="single"/>
        </w:rPr>
        <w:t>**************</w:t>
      </w:r>
      <w:r>
        <w:rPr>
          <w:rFonts w:hint="eastAsia" w:cs="Arial"/>
          <w:szCs w:val="28"/>
          <w:u w:val="single"/>
        </w:rPr>
        <w:t>*****</w:t>
      </w:r>
    </w:p>
    <w:p>
      <w:pPr>
        <w:spacing w:before="120" w:line="240" w:lineRule="auto"/>
        <w:ind w:firstLine="0" w:firstLineChars="0"/>
        <w:jc w:val="center"/>
        <w:rPr>
          <w:rFonts w:cs="Arial"/>
          <w:szCs w:val="28"/>
        </w:rPr>
      </w:pPr>
      <w:r>
        <w:rPr>
          <w:rFonts w:hint="eastAsia" w:cs="Arial"/>
          <w:szCs w:val="28"/>
        </w:rPr>
        <w:t>公司地址：</w:t>
      </w:r>
      <w:r>
        <w:rPr>
          <w:rFonts w:cs="Arial"/>
          <w:szCs w:val="28"/>
          <w:u w:val="single"/>
        </w:rPr>
        <w:t>**************</w:t>
      </w:r>
      <w:r>
        <w:rPr>
          <w:rFonts w:hint="eastAsia" w:cs="Arial"/>
          <w:szCs w:val="28"/>
          <w:u w:val="single"/>
        </w:rPr>
        <w:t>*****</w:t>
      </w:r>
    </w:p>
    <w:p>
      <w:pPr>
        <w:spacing w:before="120" w:line="240" w:lineRule="auto"/>
        <w:ind w:firstLine="0" w:firstLineChars="0"/>
        <w:jc w:val="center"/>
        <w:rPr>
          <w:rFonts w:cs="Arial"/>
          <w:szCs w:val="28"/>
        </w:rPr>
      </w:pPr>
      <w:r>
        <w:rPr>
          <w:rFonts w:hint="eastAsia" w:cs="Arial"/>
          <w:szCs w:val="28"/>
        </w:rPr>
        <w:t>评估单位：</w:t>
      </w:r>
      <w:r>
        <w:rPr>
          <w:rFonts w:cs="Arial"/>
          <w:szCs w:val="28"/>
          <w:u w:val="single"/>
        </w:rPr>
        <w:t>**************</w:t>
      </w:r>
      <w:r>
        <w:rPr>
          <w:rFonts w:hint="eastAsia" w:cs="Arial"/>
          <w:szCs w:val="28"/>
          <w:u w:val="single"/>
        </w:rPr>
        <w:t>*****</w:t>
      </w:r>
    </w:p>
    <w:p>
      <w:pPr>
        <w:spacing w:before="120" w:line="240" w:lineRule="auto"/>
        <w:ind w:firstLine="0" w:firstLineChars="0"/>
        <w:jc w:val="center"/>
        <w:rPr>
          <w:rFonts w:cs="Arial"/>
          <w:szCs w:val="28"/>
          <w:u w:val="single"/>
        </w:rPr>
      </w:pPr>
      <w:r>
        <w:rPr>
          <w:rFonts w:hint="eastAsia" w:cs="Arial"/>
          <w:szCs w:val="28"/>
        </w:rPr>
        <w:t>评 估 人：</w:t>
      </w:r>
      <w:r>
        <w:rPr>
          <w:rFonts w:cs="Arial"/>
          <w:szCs w:val="28"/>
          <w:u w:val="single"/>
        </w:rPr>
        <w:t>****************</w:t>
      </w:r>
      <w:r>
        <w:rPr>
          <w:rFonts w:hint="eastAsia" w:cs="Arial"/>
          <w:szCs w:val="28"/>
          <w:u w:val="single"/>
        </w:rPr>
        <w:t>***</w:t>
      </w:r>
    </w:p>
    <w:p>
      <w:pPr>
        <w:spacing w:before="120" w:line="240" w:lineRule="auto"/>
        <w:ind w:firstLine="0" w:firstLineChars="0"/>
        <w:jc w:val="center"/>
        <w:rPr>
          <w:rFonts w:cs="Arial"/>
        </w:rPr>
      </w:pPr>
      <w:r>
        <w:rPr>
          <w:rFonts w:hint="eastAsia" w:cs="Arial"/>
          <w:szCs w:val="28"/>
        </w:rPr>
        <w:t>评估日期：</w:t>
      </w:r>
      <w:r>
        <w:rPr>
          <w:rFonts w:cs="Arial"/>
          <w:szCs w:val="28"/>
          <w:u w:val="single"/>
        </w:rPr>
        <w:t>**************</w:t>
      </w:r>
      <w:r>
        <w:rPr>
          <w:rFonts w:hint="eastAsia" w:cs="Arial"/>
          <w:szCs w:val="28"/>
          <w:u w:val="single"/>
        </w:rPr>
        <w:t>*****</w:t>
      </w:r>
      <w:r>
        <w:rPr>
          <w:rFonts w:cs="Arial"/>
        </w:rPr>
        <w:br w:type="page"/>
      </w:r>
    </w:p>
    <w:p>
      <w:pPr>
        <w:spacing w:before="312" w:beforeLines="100" w:after="156" w:afterLines="50" w:line="240" w:lineRule="auto"/>
        <w:ind w:firstLine="480"/>
        <w:rPr>
          <w:rFonts w:eastAsia="黑体" w:cstheme="minorBidi"/>
          <w:sz w:val="24"/>
        </w:rPr>
      </w:pPr>
      <w:r>
        <w:rPr>
          <w:rFonts w:hint="eastAsia" w:eastAsia="黑体" w:cstheme="minorBidi"/>
          <w:sz w:val="24"/>
        </w:rPr>
        <w:t>一、摘要</w:t>
      </w:r>
    </w:p>
    <w:p>
      <w:pPr>
        <w:ind w:firstLine="420"/>
        <w:rPr>
          <w:rFonts w:ascii="Times New Roman" w:hAnsi="Times New Roman" w:eastAsia="宋体" w:cstheme="minorBidi"/>
          <w:sz w:val="21"/>
        </w:rPr>
      </w:pPr>
      <w:r>
        <w:rPr>
          <w:rFonts w:hint="eastAsia" w:ascii="Times New Roman" w:hAnsi="Times New Roman" w:eastAsia="宋体" w:cstheme="minorBidi"/>
          <w:sz w:val="21"/>
        </w:rPr>
        <w:t>****面霜为驻留类产品，适用于面部，依据《化妆品过渡期实施方案》有关规定，对产品的微生物、有害物质和稳定性等进行了检测，并对配方所用的水、甘油、角鲨烷、1,3-丙二醇、苯氧乙醇、墨角藻（FUCUS VESICULOSUS）提取物、异鲸蜡醇、花生醇、香精、蜂蜜和氯化镁等11种原料，可能存在的二甘醇和苯酚2种风险物质进行安全评估。结果显示，该产品在正常、合理及可预见的使用情况下不会对人体健康产生危害。</w:t>
      </w:r>
    </w:p>
    <w:p>
      <w:pPr>
        <w:spacing w:before="312" w:beforeLines="100" w:after="156" w:afterLines="50" w:line="240" w:lineRule="auto"/>
        <w:ind w:firstLine="480"/>
        <w:rPr>
          <w:rFonts w:eastAsia="黑体" w:cstheme="minorBidi"/>
          <w:sz w:val="24"/>
        </w:rPr>
      </w:pPr>
      <w:r>
        <w:rPr>
          <w:rFonts w:hint="eastAsia" w:eastAsia="黑体" w:cstheme="minorBidi"/>
          <w:sz w:val="24"/>
        </w:rPr>
        <w:t>二、产品简介</w:t>
      </w:r>
    </w:p>
    <w:p>
      <w:pPr>
        <w:ind w:firstLine="420"/>
        <w:rPr>
          <w:rFonts w:ascii="Times New Roman" w:hAnsi="Times New Roman" w:eastAsia="宋体" w:cstheme="minorBidi"/>
          <w:sz w:val="21"/>
        </w:rPr>
      </w:pPr>
      <w:r>
        <w:rPr>
          <w:rFonts w:hint="eastAsia" w:ascii="Times New Roman" w:hAnsi="Times New Roman" w:eastAsia="宋体" w:cstheme="minorBidi"/>
          <w:sz w:val="21"/>
        </w:rPr>
        <w:t>1、产品名称：</w:t>
      </w:r>
      <w:r>
        <w:rPr>
          <w:rFonts w:ascii="Times New Roman" w:hAnsi="Times New Roman" w:eastAsia="宋体" w:cstheme="minorBidi"/>
          <w:sz w:val="21"/>
        </w:rPr>
        <w:t>***</w:t>
      </w:r>
      <w:r>
        <w:rPr>
          <w:rFonts w:hint="eastAsia" w:ascii="Times New Roman" w:hAnsi="Times New Roman" w:eastAsia="宋体" w:cstheme="minorBidi"/>
          <w:sz w:val="21"/>
        </w:rPr>
        <w:t>面霜</w:t>
      </w:r>
    </w:p>
    <w:p>
      <w:pPr>
        <w:ind w:firstLine="420"/>
        <w:rPr>
          <w:rFonts w:ascii="Times New Roman" w:hAnsi="Times New Roman" w:eastAsia="宋体" w:cstheme="minorBidi"/>
          <w:sz w:val="21"/>
        </w:rPr>
      </w:pPr>
      <w:r>
        <w:rPr>
          <w:rFonts w:ascii="Times New Roman" w:hAnsi="Times New Roman" w:eastAsia="宋体" w:cstheme="minorBidi"/>
          <w:sz w:val="21"/>
        </w:rPr>
        <w:t>2</w:t>
      </w:r>
      <w:r>
        <w:rPr>
          <w:rFonts w:hint="eastAsia" w:ascii="Times New Roman" w:hAnsi="Times New Roman" w:eastAsia="宋体" w:cstheme="minorBidi"/>
          <w:sz w:val="21"/>
        </w:rPr>
        <w:t>、产品使用方法：本产品可涂抹于面部。</w:t>
      </w:r>
    </w:p>
    <w:p>
      <w:pPr>
        <w:ind w:firstLine="420"/>
        <w:rPr>
          <w:rFonts w:ascii="Times New Roman" w:hAnsi="Times New Roman" w:eastAsia="宋体" w:cstheme="minorBidi"/>
          <w:sz w:val="21"/>
        </w:rPr>
      </w:pPr>
      <w:r>
        <w:rPr>
          <w:rFonts w:ascii="Times New Roman" w:hAnsi="Times New Roman" w:eastAsia="宋体" w:cstheme="minorBidi"/>
          <w:sz w:val="21"/>
        </w:rPr>
        <w:t>3</w:t>
      </w:r>
      <w:r>
        <w:rPr>
          <w:rFonts w:hint="eastAsia" w:ascii="Times New Roman" w:hAnsi="Times New Roman" w:eastAsia="宋体" w:cstheme="minorBidi"/>
          <w:sz w:val="21"/>
        </w:rPr>
        <w:t>、日均使用量</w:t>
      </w:r>
      <w:r>
        <w:rPr>
          <w:rFonts w:ascii="Times New Roman" w:hAnsi="Times New Roman" w:eastAsia="宋体" w:cstheme="minorBidi"/>
          <w:sz w:val="21"/>
        </w:rPr>
        <w:t xml:space="preserve"> (</w:t>
      </w:r>
      <w:r>
        <w:rPr>
          <w:rFonts w:hint="eastAsia" w:ascii="Times New Roman" w:hAnsi="Times New Roman" w:eastAsia="宋体" w:cstheme="minorBidi"/>
          <w:sz w:val="21"/>
        </w:rPr>
        <w:t>g/day)：</w:t>
      </w:r>
      <w:r>
        <w:rPr>
          <w:rFonts w:ascii="Times New Roman" w:hAnsi="Times New Roman" w:eastAsia="宋体" w:cstheme="minorBidi"/>
          <w:sz w:val="21"/>
        </w:rPr>
        <w:t>1</w:t>
      </w:r>
      <w:r>
        <w:rPr>
          <w:rFonts w:hint="eastAsia" w:ascii="Times New Roman" w:hAnsi="Times New Roman" w:eastAsia="宋体" w:cstheme="minorBidi"/>
          <w:sz w:val="21"/>
        </w:rPr>
        <w:t>.</w:t>
      </w:r>
      <w:r>
        <w:rPr>
          <w:rFonts w:ascii="Times New Roman" w:hAnsi="Times New Roman" w:eastAsia="宋体" w:cstheme="minorBidi"/>
          <w:sz w:val="21"/>
        </w:rPr>
        <w:t>54*</w:t>
      </w:r>
    </w:p>
    <w:p>
      <w:pPr>
        <w:ind w:firstLine="420"/>
        <w:rPr>
          <w:rFonts w:ascii="Times New Roman" w:hAnsi="Times New Roman" w:eastAsia="宋体" w:cstheme="minorBidi"/>
          <w:sz w:val="21"/>
        </w:rPr>
      </w:pPr>
      <w:r>
        <w:rPr>
          <w:rFonts w:ascii="Times New Roman" w:hAnsi="Times New Roman" w:eastAsia="宋体" w:cstheme="minorBidi"/>
          <w:sz w:val="21"/>
        </w:rPr>
        <w:t>4</w:t>
      </w:r>
      <w:r>
        <w:rPr>
          <w:rFonts w:hint="eastAsia" w:ascii="Times New Roman" w:hAnsi="Times New Roman" w:eastAsia="宋体" w:cstheme="minorBidi"/>
          <w:sz w:val="21"/>
        </w:rPr>
        <w:t>、产品驻留因子：</w:t>
      </w:r>
      <w:r>
        <w:rPr>
          <w:rFonts w:ascii="Times New Roman" w:hAnsi="Times New Roman" w:eastAsia="宋体" w:cstheme="minorBidi"/>
          <w:sz w:val="21"/>
        </w:rPr>
        <w:t xml:space="preserve"> 1</w:t>
      </w:r>
      <w:r>
        <w:rPr>
          <w:rFonts w:hint="eastAsia" w:ascii="Times New Roman" w:hAnsi="Times New Roman" w:eastAsia="宋体" w:cstheme="minorBidi"/>
          <w:sz w:val="21"/>
        </w:rPr>
        <w:t>.00</w:t>
      </w:r>
    </w:p>
    <w:p>
      <w:pPr>
        <w:ind w:firstLine="420"/>
        <w:rPr>
          <w:rFonts w:ascii="Times New Roman" w:hAnsi="Times New Roman" w:eastAsia="宋体" w:cstheme="minorBidi"/>
          <w:sz w:val="21"/>
        </w:rPr>
      </w:pPr>
      <w:r>
        <w:rPr>
          <w:rFonts w:ascii="Times New Roman" w:hAnsi="Times New Roman" w:eastAsia="宋体" w:cstheme="minorBidi"/>
          <w:sz w:val="21"/>
        </w:rPr>
        <w:t>5</w:t>
      </w:r>
      <w:r>
        <w:rPr>
          <w:rFonts w:hint="eastAsia" w:ascii="Times New Roman" w:hAnsi="Times New Roman" w:eastAsia="宋体" w:cstheme="minorBidi"/>
          <w:sz w:val="21"/>
        </w:rPr>
        <w:t>、暴露剂量（SED）=日均使用量×驻留因子×成分在配方中百分比×经皮吸收率÷体重</w:t>
      </w:r>
      <w:r>
        <w:rPr>
          <w:rFonts w:hint="eastAsia" w:ascii="Times New Roman" w:hAnsi="Times New Roman" w:eastAsia="宋体" w:cstheme="minorBidi"/>
          <w:sz w:val="21"/>
          <w:vertAlign w:val="superscript"/>
        </w:rPr>
        <w:t>#</w:t>
      </w:r>
    </w:p>
    <w:p>
      <w:pPr>
        <w:ind w:firstLine="420"/>
        <w:rPr>
          <w:rFonts w:ascii="Times New Roman" w:hAnsi="Times New Roman" w:eastAsia="宋体" w:cstheme="minorBidi"/>
          <w:sz w:val="21"/>
        </w:rPr>
      </w:pPr>
      <w:r>
        <w:rPr>
          <w:rFonts w:ascii="Times New Roman" w:hAnsi="Times New Roman" w:eastAsia="宋体" w:cstheme="minorBidi"/>
          <w:sz w:val="21"/>
        </w:rPr>
        <w:t>6</w:t>
      </w:r>
      <w:r>
        <w:rPr>
          <w:rFonts w:hint="eastAsia" w:ascii="Times New Roman" w:hAnsi="Times New Roman" w:eastAsia="宋体" w:cstheme="minorBidi"/>
          <w:sz w:val="21"/>
        </w:rPr>
        <w:t>、安全边际（Mos）</w:t>
      </w:r>
      <w:r>
        <w:rPr>
          <w:rFonts w:ascii="Times New Roman" w:hAnsi="Times New Roman" w:eastAsia="宋体" w:cstheme="minorBidi"/>
          <w:sz w:val="21"/>
        </w:rPr>
        <w:t>= NOAEL/ SED</w:t>
      </w:r>
    </w:p>
    <w:p>
      <w:pPr>
        <w:ind w:firstLine="420"/>
        <w:rPr>
          <w:rFonts w:ascii="Times New Roman" w:hAnsi="Times New Roman" w:eastAsia="宋体" w:cstheme="minorBidi"/>
          <w:sz w:val="21"/>
        </w:rPr>
      </w:pPr>
      <w:r>
        <w:rPr>
          <w:rFonts w:hint="eastAsia" w:ascii="Times New Roman" w:hAnsi="Times New Roman" w:eastAsia="宋体" w:cstheme="minorBidi"/>
          <w:sz w:val="21"/>
        </w:rPr>
        <w:t>注：*日均使用量参考《</w:t>
      </w:r>
      <w:r>
        <w:rPr>
          <w:rFonts w:ascii="Times New Roman" w:hAnsi="Times New Roman" w:eastAsia="宋体" w:cstheme="minorBidi"/>
          <w:sz w:val="21"/>
        </w:rPr>
        <w:t xml:space="preserve">THE SCCS NOTES OF GUIDANCE FOR THE ESTING OF COSMETIC INGREDIENTS AND THEIR SAFETY EVALUATION </w:t>
      </w:r>
      <w:r>
        <w:rPr>
          <w:rFonts w:hint="eastAsia" w:ascii="Times New Roman" w:hAnsi="Times New Roman" w:eastAsia="宋体" w:cstheme="minorBidi"/>
          <w:sz w:val="21"/>
        </w:rPr>
        <w:t>（</w:t>
      </w:r>
      <w:r>
        <w:rPr>
          <w:rFonts w:ascii="Times New Roman" w:hAnsi="Times New Roman" w:eastAsia="宋体" w:cstheme="minorBidi"/>
          <w:sz w:val="21"/>
        </w:rPr>
        <w:t>10TH REVISION</w:t>
      </w:r>
      <w:r>
        <w:rPr>
          <w:rFonts w:hint="eastAsia" w:ascii="Times New Roman" w:hAnsi="Times New Roman" w:eastAsia="宋体" w:cstheme="minorBidi"/>
          <w:sz w:val="21"/>
        </w:rPr>
        <w:t>）》,</w:t>
      </w:r>
      <w:r>
        <w:rPr>
          <w:rFonts w:ascii="Times New Roman" w:hAnsi="Times New Roman" w:eastAsia="宋体" w:cstheme="minorBidi"/>
          <w:sz w:val="21"/>
        </w:rPr>
        <w:t xml:space="preserve"> Table 2A: Daily exposure levels for different cosmetic product categories in Europe, calculated by multiplying daily amounts (Hall et al. 2007, Hall et al. 2011) and Fret</w:t>
      </w:r>
      <w:r>
        <w:rPr>
          <w:rFonts w:hint="eastAsia" w:ascii="Times New Roman" w:hAnsi="Times New Roman" w:eastAsia="宋体" w:cstheme="minorBidi"/>
          <w:sz w:val="21"/>
        </w:rPr>
        <w:t>。</w:t>
      </w:r>
    </w:p>
    <w:p>
      <w:pPr>
        <w:ind w:firstLine="420"/>
        <w:rPr>
          <w:rFonts w:ascii="Times New Roman" w:hAnsi="Times New Roman" w:eastAsia="宋体" w:cstheme="minorBidi"/>
          <w:sz w:val="21"/>
        </w:rPr>
      </w:pPr>
      <w:r>
        <w:rPr>
          <w:rFonts w:hint="eastAsia" w:ascii="Times New Roman" w:hAnsi="Times New Roman" w:eastAsia="宋体" w:cstheme="minorBidi"/>
          <w:sz w:val="21"/>
          <w:vertAlign w:val="superscript"/>
        </w:rPr>
        <w:t>#</w:t>
      </w:r>
      <w:r>
        <w:rPr>
          <w:rFonts w:hint="eastAsia" w:ascii="Times New Roman" w:hAnsi="Times New Roman" w:eastAsia="宋体" w:cstheme="minorBidi"/>
          <w:sz w:val="21"/>
        </w:rPr>
        <w:t>经皮吸收率以100%计；体重一般为默认的成人体重（60 kg）。</w:t>
      </w:r>
    </w:p>
    <w:p>
      <w:pPr>
        <w:spacing w:before="312" w:beforeLines="100" w:after="156" w:afterLines="50"/>
        <w:ind w:firstLine="420"/>
        <w:rPr>
          <w:rFonts w:ascii="Times New Roman" w:hAnsi="Times New Roman" w:eastAsia="宋体" w:cstheme="minorBidi"/>
          <w:sz w:val="21"/>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pPr>
    </w:p>
    <w:p>
      <w:pPr>
        <w:spacing w:before="312" w:beforeLines="100" w:after="156" w:afterLines="50" w:line="240" w:lineRule="auto"/>
        <w:ind w:firstLine="480"/>
        <w:rPr>
          <w:rFonts w:eastAsia="黑体" w:cstheme="minorBidi"/>
          <w:sz w:val="24"/>
        </w:rPr>
      </w:pPr>
      <w:r>
        <w:rPr>
          <w:rFonts w:hint="eastAsia" w:eastAsia="黑体" w:cstheme="minorBidi"/>
          <w:sz w:val="24"/>
        </w:rPr>
        <w:t>三、配方中各成分的安全评估</w:t>
      </w:r>
    </w:p>
    <w:p>
      <w:pPr>
        <w:spacing w:before="156" w:beforeLines="50" w:line="240" w:lineRule="auto"/>
        <w:ind w:firstLine="0" w:firstLineChars="0"/>
        <w:jc w:val="center"/>
        <w:rPr>
          <w:rFonts w:ascii="黑体" w:hAnsi="黑体" w:eastAsia="黑体" w:cs="黑体"/>
          <w:bCs/>
          <w:sz w:val="24"/>
          <w:szCs w:val="24"/>
        </w:rPr>
      </w:pPr>
      <w:r>
        <w:rPr>
          <w:rFonts w:hint="eastAsia" w:ascii="黑体" w:hAnsi="黑体" w:eastAsia="黑体" w:cs="黑体"/>
          <w:bCs/>
          <w:sz w:val="24"/>
          <w:szCs w:val="24"/>
        </w:rPr>
        <w:t>表1 各成分的安全评估</w:t>
      </w:r>
    </w:p>
    <w:tbl>
      <w:tblPr>
        <w:tblStyle w:val="67"/>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559"/>
        <w:gridCol w:w="1418"/>
        <w:gridCol w:w="1276"/>
        <w:gridCol w:w="1417"/>
        <w:gridCol w:w="425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84"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标准中文名称</w:t>
            </w:r>
          </w:p>
        </w:tc>
        <w:tc>
          <w:tcPr>
            <w:tcW w:w="1134"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成分含量（%）</w:t>
            </w:r>
          </w:p>
        </w:tc>
        <w:tc>
          <w:tcPr>
            <w:tcW w:w="1559"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《化妆品安全技术规范》要求</w:t>
            </w:r>
          </w:p>
        </w:tc>
        <w:tc>
          <w:tcPr>
            <w:tcW w:w="1418"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权威机构评估结论</w:t>
            </w:r>
          </w:p>
        </w:tc>
        <w:tc>
          <w:tcPr>
            <w:tcW w:w="1276"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原料历史使用量（%）</w:t>
            </w:r>
          </w:p>
        </w:tc>
        <w:tc>
          <w:tcPr>
            <w:tcW w:w="1417"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已获批准产品中最高历史使用量（%）</w:t>
            </w:r>
          </w:p>
        </w:tc>
        <w:tc>
          <w:tcPr>
            <w:tcW w:w="4253"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评估结论</w:t>
            </w:r>
          </w:p>
        </w:tc>
        <w:tc>
          <w:tcPr>
            <w:tcW w:w="1417" w:type="dxa"/>
            <w:vAlign w:val="center"/>
          </w:tcPr>
          <w:p>
            <w:pPr>
              <w:spacing w:line="200" w:lineRule="exact"/>
              <w:ind w:firstLine="0" w:firstLineChars="0"/>
              <w:jc w:val="center"/>
              <w:rPr>
                <w:rFonts w:ascii="黑体" w:hAnsi="黑体" w:eastAsia="黑体" w:cs="黑体"/>
                <w:b/>
                <w:sz w:val="18"/>
              </w:rPr>
            </w:pPr>
            <w:r>
              <w:rPr>
                <w:rFonts w:hint="eastAsia" w:ascii="黑体" w:hAnsi="黑体" w:eastAsia="黑体" w:cs="黑体"/>
                <w:b/>
                <w:sz w:val="18"/>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水</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79.783</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本产品使用的水符合国家饮用水标准，无安全风险。</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甘油</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16.85</w:t>
            </w:r>
            <w:r>
              <w:rPr>
                <w:rFonts w:hint="eastAsia" w:ascii="Times New Roman" w:hAnsi="Times New Roman" w:eastAsia="宋体" w:cstheme="minorBidi"/>
                <w:sz w:val="18"/>
              </w:rPr>
              <w:t>0</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CIR</w:t>
            </w:r>
            <w:r>
              <w:rPr>
                <w:rFonts w:hint="eastAsia" w:ascii="Times New Roman" w:hAnsi="Times New Roman" w:eastAsia="宋体" w:cstheme="minorBidi"/>
                <w:sz w:val="18"/>
              </w:rPr>
              <w:t>评估结果显示，驻留类产品浓度为</w:t>
            </w:r>
            <w:r>
              <w:rPr>
                <w:rFonts w:ascii="Times New Roman" w:hAnsi="Times New Roman" w:eastAsia="宋体" w:cstheme="minorBidi"/>
                <w:sz w:val="18"/>
              </w:rPr>
              <w:t>78.5%</w:t>
            </w:r>
            <w:r>
              <w:rPr>
                <w:rFonts w:hint="eastAsia" w:ascii="Times New Roman" w:hAnsi="Times New Roman" w:eastAsia="宋体" w:cstheme="minorBidi"/>
                <w:sz w:val="18"/>
              </w:rPr>
              <w:t>时，在化妆品中的使用是安全的</w:t>
            </w: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本配方中添加量在安全用量以内。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角鲨烷</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2.000</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45</w:t>
            </w:r>
            <w:r>
              <w:rPr>
                <w:rFonts w:hint="eastAsia" w:ascii="Times New Roman" w:hAnsi="Times New Roman" w:eastAsia="宋体" w:cstheme="minorBidi"/>
                <w:sz w:val="18"/>
              </w:rPr>
              <w:t>.000</w:t>
            </w: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本配方中的添加量低于已获批准产品中驻留类最高历史使用量（序号为**），原料在本产品中的应用风险在可接受范围之内。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1,3-丙二醇</w:t>
            </w:r>
            <w:r>
              <w:rPr>
                <w:rFonts w:ascii="Times New Roman" w:hAnsi="Times New Roman" w:eastAsia="宋体" w:cstheme="minorBidi"/>
                <w:sz w:val="18"/>
              </w:rPr>
              <w:tab/>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1</w:t>
            </w:r>
            <w:r>
              <w:rPr>
                <w:rFonts w:ascii="Times New Roman" w:hAnsi="Times New Roman" w:eastAsia="宋体" w:cstheme="minorBidi"/>
                <w:sz w:val="18"/>
              </w:rPr>
              <w:t>.</w:t>
            </w:r>
            <w:r>
              <w:rPr>
                <w:rFonts w:hint="eastAsia" w:ascii="Times New Roman" w:hAnsi="Times New Roman" w:eastAsia="宋体" w:cstheme="minorBidi"/>
                <w:sz w:val="18"/>
              </w:rPr>
              <w:t>000</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急性毒性：急性经口毒性试验显示该原料为低毒性；皮肤刺激性：该原料浓度为100%时对皮肤有轻微刺激性；眼刺激性：该原料浓度为100%时无刺激性；皮肤变态反应：该原料浓度为50%时无致敏性；皮肤光毒性：该原料不具有紫外光吸收特性，因此不具有皮肤光毒性；致突变性：该原料无潜在基因突变性或染色体畸变性。系统毒性：经危害特征描述，该原料的未观察到有害作用剂量（NOAEL）为1000mg/kg bw/d；生殖和发育毒性：该原料未观察到生殖和发育毒性。暴露剂量（SED）=0.27mg/kg bw/d，经计算安全边际MoS=1000/0.27=3703&gt;100，原料在本产品中应用风险在可接受范围之内。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苯氧乙醇</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0.5</w:t>
            </w:r>
            <w:r>
              <w:rPr>
                <w:rFonts w:hint="eastAsia" w:ascii="Times New Roman" w:hAnsi="Times New Roman" w:eastAsia="宋体" w:cstheme="minorBidi"/>
                <w:sz w:val="18"/>
              </w:rPr>
              <w:t>00</w:t>
            </w:r>
          </w:p>
        </w:tc>
        <w:tc>
          <w:tcPr>
            <w:tcW w:w="1559"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符合化妆品准用防腐剂（表4）规定</w:t>
            </w: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满足《化妆品安全技术规范》（2015年版）要求。</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墨角藻（FUCUS VESICULOSUS）提取物</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0.100</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CIR 结果显示，浓度不高于5%时该原料在化妆品中的使用是安全的</w:t>
            </w: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异鲸蜡醇</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0.050</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0.070</w:t>
            </w: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在备案号为***的面霜中，异鲸蜡醇浓度为</w:t>
            </w:r>
            <w:r>
              <w:rPr>
                <w:rFonts w:ascii="Times New Roman" w:hAnsi="Times New Roman" w:eastAsia="宋体" w:cstheme="minorBidi"/>
                <w:sz w:val="18"/>
              </w:rPr>
              <w:t>0.070%</w:t>
            </w:r>
            <w:r>
              <w:rPr>
                <w:rFonts w:hint="eastAsia" w:ascii="Times New Roman" w:hAnsi="Times New Roman" w:eastAsia="宋体" w:cstheme="minorBidi"/>
                <w:sz w:val="18"/>
              </w:rPr>
              <w:t>，本产品添加量为0.050%，该原料在本产品中应用风险在可接受范围之内。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花生醇</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0.00</w:t>
            </w:r>
            <w:r>
              <w:rPr>
                <w:rFonts w:hint="eastAsia" w:ascii="Times New Roman" w:hAnsi="Times New Roman" w:eastAsia="宋体" w:cstheme="minorBidi"/>
                <w:sz w:val="18"/>
              </w:rPr>
              <w:t>6</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花生醇为</w:t>
            </w:r>
            <w:r>
              <w:rPr>
                <w:rFonts w:ascii="Times New Roman" w:hAnsi="Times New Roman" w:eastAsia="宋体" w:cstheme="minorBidi"/>
                <w:sz w:val="18"/>
              </w:rPr>
              <w:t>1-</w:t>
            </w:r>
            <w:r>
              <w:rPr>
                <w:rFonts w:hint="eastAsia" w:ascii="Times New Roman" w:hAnsi="Times New Roman" w:eastAsia="宋体" w:cstheme="minorBidi"/>
                <w:sz w:val="18"/>
              </w:rPr>
              <w:t>二十烷醇，属于直链长链饱和脂肪醇。直链长链饱和脂肪醇类物质的通用分子结构式为</w:t>
            </w:r>
            <w:r>
              <w:rPr>
                <w:rFonts w:ascii="Times New Roman" w:hAnsi="Times New Roman" w:eastAsia="宋体" w:cstheme="minorBidi"/>
                <w:sz w:val="18"/>
              </w:rPr>
              <w:t>CnH2n+2O</w:t>
            </w:r>
            <w:r>
              <w:rPr>
                <w:rFonts w:hint="eastAsia" w:ascii="Times New Roman" w:hAnsi="Times New Roman" w:eastAsia="宋体" w:cstheme="minorBidi"/>
                <w:sz w:val="18"/>
              </w:rPr>
              <w:t>，该类物质都具有直链碳链结构，且都具有末端醇羟基作为关键官能团，化学结构的区别是碳链长短的不同。因此，花生醇和具有近似碳链长度的饱和脂肪醇（如</w:t>
            </w:r>
            <w:r>
              <w:rPr>
                <w:rFonts w:ascii="Times New Roman" w:hAnsi="Times New Roman" w:eastAsia="宋体" w:cstheme="minorBidi"/>
                <w:sz w:val="18"/>
              </w:rPr>
              <w:t>1-</w:t>
            </w:r>
            <w:r>
              <w:rPr>
                <w:rFonts w:hint="eastAsia" w:ascii="Times New Roman" w:hAnsi="Times New Roman" w:eastAsia="宋体" w:cstheme="minorBidi"/>
                <w:sz w:val="18"/>
              </w:rPr>
              <w:t>十八醇、</w:t>
            </w:r>
            <w:r>
              <w:rPr>
                <w:rFonts w:ascii="Times New Roman" w:hAnsi="Times New Roman" w:eastAsia="宋体" w:cstheme="minorBidi"/>
                <w:sz w:val="18"/>
              </w:rPr>
              <w:t>1-</w:t>
            </w:r>
            <w:r>
              <w:rPr>
                <w:rFonts w:hint="eastAsia" w:ascii="Times New Roman" w:hAnsi="Times New Roman" w:eastAsia="宋体" w:cstheme="minorBidi"/>
                <w:sz w:val="18"/>
              </w:rPr>
              <w:t>二十二醇）在理化性质、危害描述、危害特征描述等上的数据可以相互参考。</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花生醇的毒理学终点：</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急性毒性：急性经口毒性试验显示该原料为实际无毒性。急性经皮毒性试验显示该原料为微毒性。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皮肤刺激性：根据原料供应商提供的毒理学安全数据，浓度为</w:t>
            </w:r>
            <w:r>
              <w:rPr>
                <w:rFonts w:ascii="Times New Roman" w:hAnsi="Times New Roman" w:eastAsia="宋体" w:cstheme="minorBidi"/>
                <w:sz w:val="18"/>
              </w:rPr>
              <w:t>50</w:t>
            </w:r>
            <w:r>
              <w:rPr>
                <w:rFonts w:hint="eastAsia" w:ascii="Times New Roman" w:hAnsi="Times New Roman" w:eastAsia="宋体" w:cstheme="minorBidi"/>
                <w:sz w:val="18"/>
              </w:rPr>
              <w:t>.000</w:t>
            </w:r>
            <w:r>
              <w:rPr>
                <w:rFonts w:ascii="Times New Roman" w:hAnsi="Times New Roman" w:eastAsia="宋体" w:cstheme="minorBidi"/>
                <w:sz w:val="18"/>
              </w:rPr>
              <w:t>%</w:t>
            </w:r>
            <w:r>
              <w:rPr>
                <w:rFonts w:hint="eastAsia" w:ascii="Times New Roman" w:hAnsi="Times New Roman" w:eastAsia="宋体" w:cstheme="minorBidi"/>
                <w:sz w:val="18"/>
              </w:rPr>
              <w:t>时，该原料对皮肤无刺激性。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眼刺激性：根据原料供应商提供的毒理学安全数据，浓度为</w:t>
            </w:r>
            <w:r>
              <w:rPr>
                <w:rFonts w:ascii="Times New Roman" w:hAnsi="Times New Roman" w:eastAsia="宋体" w:cstheme="minorBidi"/>
                <w:sz w:val="18"/>
              </w:rPr>
              <w:t>50</w:t>
            </w:r>
            <w:r>
              <w:rPr>
                <w:rFonts w:hint="eastAsia" w:ascii="Times New Roman" w:hAnsi="Times New Roman" w:eastAsia="宋体" w:cstheme="minorBidi"/>
                <w:sz w:val="18"/>
              </w:rPr>
              <w:t>.000</w:t>
            </w:r>
            <w:r>
              <w:rPr>
                <w:rFonts w:ascii="Times New Roman" w:hAnsi="Times New Roman" w:eastAsia="宋体" w:cstheme="minorBidi"/>
                <w:sz w:val="18"/>
              </w:rPr>
              <w:t>%</w:t>
            </w:r>
            <w:r>
              <w:rPr>
                <w:rFonts w:hint="eastAsia" w:ascii="Times New Roman" w:hAnsi="Times New Roman" w:eastAsia="宋体" w:cstheme="minorBidi"/>
                <w:sz w:val="18"/>
              </w:rPr>
              <w:t>时该原料对眼睛无刺激性。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皮肤变态反应：该原料经动物测试证明无致敏性。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皮肤光毒性：含有该原料的产品在临床研究中显示无皮肤光毒性。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致突变性：根据原料供应商提供的毒理学安全数据无潜在基因突变性或染色体畸变性。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系统毒性：经过危害特征描述，该原料的未观测到有害作用的剂量水平（NOAEL）为 1000 mg/kg bw/day。生殖和发育毒性：该原料的交叉参考物1-二十二醇在重复剂量毒性/生殖和发育毒性试验中未观测到发育和生殖毒性反应，其NOAEL为 1000 mg/kg bw/day。另一交叉参考物1-十八醇在生殖和发育毒性试验中也未观测到发育和生殖毒性反应，其NOAEL为 2000 mg/kg bw/day。鉴于化学结构的相似性，花生醇（C=20）的生殖和发育毒性应与1-二十二醇和1-十八醇相近。此外，据研究表明，直链饱和脂肪醇的经皮、经口吸收率与碳链长度直接相关。当碳链长度大于7时，饱和脂肪醇的经皮、经口吸收率随碳链长度的增加而下降。因此，花生醇的生殖和发育毒性应不高于其交叉参照物的生殖发育毒性，基于保守原则，NOAEL选取1000 mg/kg bw/day。安全评估用NOAEL：选取经口重复染毒试验资料的NOAEL 1000 mg/kg/day用以计算安全边际。暴露剂量=1.54*1000*0.006/（60*100）=0.00154mg/kg/d。安全边际MoS = 1000/</w:t>
            </w:r>
            <w:r>
              <w:rPr>
                <w:rFonts w:ascii="Times New Roman" w:hAnsi="Times New Roman" w:eastAsia="宋体" w:cstheme="minorBidi"/>
                <w:sz w:val="18"/>
              </w:rPr>
              <w:t>0.00154=649350&gt; 100</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该原料在本产品中的应用风险在可接受范围内。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6</w:t>
            </w:r>
            <w:r>
              <w:rPr>
                <w:rFonts w:ascii="Times New Roman" w:hAnsi="Times New Roman" w:eastAsia="宋体" w:cstheme="minorBidi"/>
                <w:sz w:val="18"/>
              </w:rPr>
              <w:t>-</w:t>
            </w:r>
            <w:r>
              <w:rPr>
                <w:rFonts w:hint="eastAsia" w:ascii="Times New Roman" w:hAnsi="Times New Roman" w:eastAsia="宋体" w:cstheme="minorBidi"/>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香精</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0.005</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其使用符合国际日用香料香精协会（</w:t>
            </w:r>
            <w:r>
              <w:rPr>
                <w:rFonts w:ascii="Times New Roman" w:hAnsi="Times New Roman" w:eastAsia="宋体" w:cstheme="minorBidi"/>
                <w:sz w:val="18"/>
              </w:rPr>
              <w:t>IFRA</w:t>
            </w:r>
            <w:r>
              <w:rPr>
                <w:rFonts w:hint="eastAsia" w:ascii="Times New Roman" w:hAnsi="Times New Roman" w:eastAsia="宋体" w:cstheme="minorBidi"/>
                <w:sz w:val="18"/>
              </w:rPr>
              <w:t>）实践法规要求。</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蜂蜜</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0.00</w:t>
            </w:r>
            <w:r>
              <w:rPr>
                <w:rFonts w:hint="eastAsia" w:ascii="Times New Roman" w:hAnsi="Times New Roman" w:eastAsia="宋体" w:cstheme="minorBidi"/>
                <w:sz w:val="18"/>
              </w:rPr>
              <w:t>5</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该原料作为食物有悠久食用历史</w:t>
            </w: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该原料无皮肤刺激性、眼刺激性、皮肤致敏性、皮肤光毒性等局部毒性，且作为食物有悠久食用历史，无系统毒性风险。因此该原料在本产品中的应用风险在可接受范围内。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氯化镁</w:t>
            </w:r>
          </w:p>
        </w:tc>
        <w:tc>
          <w:tcPr>
            <w:tcW w:w="1134" w:type="dxa"/>
            <w:vAlign w:val="center"/>
          </w:tcPr>
          <w:p>
            <w:pPr>
              <w:spacing w:line="20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0.001</w:t>
            </w:r>
          </w:p>
        </w:tc>
        <w:tc>
          <w:tcPr>
            <w:tcW w:w="1559" w:type="dxa"/>
            <w:vAlign w:val="center"/>
          </w:tcPr>
          <w:p>
            <w:pPr>
              <w:spacing w:line="200" w:lineRule="exact"/>
              <w:ind w:firstLine="0" w:firstLineChars="0"/>
              <w:jc w:val="center"/>
              <w:rPr>
                <w:rFonts w:ascii="Times New Roman" w:hAnsi="Times New Roman" w:eastAsia="宋体" w:cstheme="minorBidi"/>
                <w:sz w:val="18"/>
              </w:rPr>
            </w:pPr>
          </w:p>
        </w:tc>
        <w:tc>
          <w:tcPr>
            <w:tcW w:w="1418" w:type="dxa"/>
            <w:vAlign w:val="center"/>
          </w:tcPr>
          <w:p>
            <w:pPr>
              <w:spacing w:line="200" w:lineRule="exact"/>
              <w:ind w:firstLine="0" w:firstLineChars="0"/>
              <w:jc w:val="center"/>
              <w:rPr>
                <w:rFonts w:ascii="Times New Roman" w:hAnsi="Times New Roman" w:eastAsia="宋体" w:cstheme="minorBidi"/>
                <w:sz w:val="18"/>
              </w:rPr>
            </w:pPr>
          </w:p>
        </w:tc>
        <w:tc>
          <w:tcPr>
            <w:tcW w:w="1276" w:type="dxa"/>
            <w:vAlign w:val="center"/>
          </w:tcPr>
          <w:p>
            <w:pPr>
              <w:spacing w:line="200" w:lineRule="exact"/>
              <w:ind w:firstLine="0" w:firstLineChars="0"/>
              <w:jc w:val="center"/>
              <w:rPr>
                <w:rFonts w:ascii="Times New Roman" w:hAnsi="Times New Roman" w:eastAsia="宋体" w:cstheme="minorBidi"/>
                <w:sz w:val="18"/>
              </w:rPr>
            </w:pPr>
          </w:p>
        </w:tc>
        <w:tc>
          <w:tcPr>
            <w:tcW w:w="1417" w:type="dxa"/>
            <w:vAlign w:val="center"/>
          </w:tcPr>
          <w:p>
            <w:pPr>
              <w:spacing w:line="200" w:lineRule="exact"/>
              <w:ind w:firstLine="0" w:firstLineChars="0"/>
              <w:jc w:val="center"/>
              <w:rPr>
                <w:rFonts w:ascii="Times New Roman" w:hAnsi="Times New Roman" w:eastAsia="宋体" w:cstheme="minorBidi"/>
                <w:sz w:val="18"/>
              </w:rPr>
            </w:pPr>
          </w:p>
        </w:tc>
        <w:tc>
          <w:tcPr>
            <w:tcW w:w="4253"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氯化镁毒理学终点包括：</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急性毒性：急性经皮毒性试验显示氯化镁为低毒性。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皮肤刺激性：该原料浓度为10.000%时对皮肤无刺激性。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眼刺激性：该原料浓度为10.000%时对眼睛无刺激性。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皮肤变态反应：该原料无致敏性。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皮肤光毒性：目前已有数据未发现该原料具有光毒性。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致突变性：该原料无潜在的基因突变性或染色体畸变性。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系统毒性：该原料在配方中的浓度为</w:t>
            </w:r>
            <w:r>
              <w:rPr>
                <w:rFonts w:ascii="Times New Roman" w:hAnsi="Times New Roman" w:eastAsia="宋体" w:cstheme="minorBidi"/>
                <w:sz w:val="18"/>
              </w:rPr>
              <w:t>0.00</w:t>
            </w:r>
            <w:r>
              <w:rPr>
                <w:rFonts w:hint="eastAsia" w:ascii="Times New Roman" w:hAnsi="Times New Roman" w:eastAsia="宋体" w:cstheme="minorBidi"/>
                <w:sz w:val="18"/>
              </w:rPr>
              <w:t>1</w:t>
            </w:r>
            <w:r>
              <w:rPr>
                <w:rFonts w:ascii="Times New Roman" w:hAnsi="Times New Roman" w:eastAsia="宋体" w:cstheme="minorBidi"/>
                <w:sz w:val="18"/>
              </w:rPr>
              <w:t>%</w:t>
            </w:r>
            <w:r>
              <w:rPr>
                <w:rFonts w:hint="eastAsia" w:ascii="Times New Roman" w:hAnsi="Times New Roman" w:eastAsia="宋体" w:cstheme="minorBidi"/>
                <w:sz w:val="18"/>
              </w:rPr>
              <w:t>，暴露量为</w:t>
            </w:r>
            <w:r>
              <w:rPr>
                <w:rFonts w:ascii="Times New Roman" w:hAnsi="Times New Roman" w:eastAsia="宋体" w:cstheme="minorBidi"/>
                <w:sz w:val="18"/>
              </w:rPr>
              <w:t>15.4µg/d</w:t>
            </w:r>
            <w:r>
              <w:rPr>
                <w:rFonts w:hint="eastAsia" w:ascii="Times New Roman" w:hAnsi="Times New Roman" w:eastAsia="宋体" w:cstheme="minorBidi"/>
                <w:sz w:val="18"/>
              </w:rPr>
              <w:t>，根据现有数据，该原料无遗传毒性，可归为</w:t>
            </w:r>
            <w:r>
              <w:rPr>
                <w:rFonts w:ascii="Times New Roman" w:hAnsi="Times New Roman" w:eastAsia="宋体" w:cstheme="minorBidi"/>
                <w:sz w:val="18"/>
              </w:rPr>
              <w:t>CramerШ</w:t>
            </w:r>
            <w:r>
              <w:rPr>
                <w:rFonts w:hint="eastAsia" w:ascii="Times New Roman" w:hAnsi="Times New Roman" w:eastAsia="宋体" w:cstheme="minorBidi"/>
                <w:sz w:val="18"/>
              </w:rPr>
              <w:t>类物质，由于其暴露量低于</w:t>
            </w:r>
            <w:r>
              <w:rPr>
                <w:rFonts w:ascii="Times New Roman" w:hAnsi="Times New Roman" w:eastAsia="宋体" w:cstheme="minorBidi"/>
                <w:sz w:val="18"/>
              </w:rPr>
              <w:t>Cramer</w:t>
            </w:r>
            <w:r>
              <w:rPr>
                <w:rFonts w:hint="eastAsia" w:ascii="Times New Roman" w:hAnsi="Times New Roman" w:eastAsia="宋体" w:cstheme="minorBidi"/>
                <w:sz w:val="18"/>
              </w:rPr>
              <w:t>分类中无基因毒性的类别中要求最严格的</w:t>
            </w:r>
            <w:r>
              <w:rPr>
                <w:rFonts w:ascii="Times New Roman" w:hAnsi="Times New Roman" w:eastAsia="宋体" w:cstheme="minorBidi"/>
                <w:sz w:val="18"/>
              </w:rPr>
              <w:t>CramerШ</w:t>
            </w:r>
            <w:r>
              <w:rPr>
                <w:rFonts w:hint="eastAsia" w:ascii="Times New Roman" w:hAnsi="Times New Roman" w:eastAsia="宋体" w:cstheme="minorBidi"/>
                <w:sz w:val="18"/>
              </w:rPr>
              <w:t>类物质的</w:t>
            </w:r>
            <w:r>
              <w:rPr>
                <w:rFonts w:ascii="Times New Roman" w:hAnsi="Times New Roman" w:eastAsia="宋体" w:cstheme="minorBidi"/>
                <w:sz w:val="18"/>
              </w:rPr>
              <w:t>TTC</w:t>
            </w:r>
            <w:r>
              <w:rPr>
                <w:rFonts w:hint="eastAsia" w:ascii="Times New Roman" w:hAnsi="Times New Roman" w:eastAsia="宋体" w:cstheme="minorBidi"/>
                <w:sz w:val="18"/>
              </w:rPr>
              <w:t>值（</w:t>
            </w:r>
            <w:r>
              <w:rPr>
                <w:rFonts w:ascii="Times New Roman" w:hAnsi="Times New Roman" w:eastAsia="宋体" w:cstheme="minorBidi"/>
                <w:sz w:val="18"/>
              </w:rPr>
              <w:t>90 µg/day</w:t>
            </w:r>
            <w:r>
              <w:rPr>
                <w:rFonts w:hint="eastAsia" w:ascii="Times New Roman" w:hAnsi="Times New Roman" w:eastAsia="宋体" w:cstheme="minorBidi"/>
                <w:sz w:val="18"/>
              </w:rPr>
              <w:t>），可忽略其潜在系统毒性。</w:t>
            </w:r>
          </w:p>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该原料在本产品中应用风险在可接受范围之内。</w:t>
            </w:r>
          </w:p>
        </w:tc>
        <w:tc>
          <w:tcPr>
            <w:tcW w:w="1417" w:type="dxa"/>
            <w:vAlign w:val="center"/>
          </w:tcPr>
          <w:p>
            <w:pPr>
              <w:spacing w:line="20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w:t>
            </w:r>
          </w:p>
        </w:tc>
      </w:tr>
    </w:tbl>
    <w:p>
      <w:pPr>
        <w:widowControl/>
        <w:spacing w:line="240" w:lineRule="auto"/>
        <w:ind w:firstLine="560"/>
        <w:jc w:val="center"/>
        <w:rPr>
          <w:rFonts w:cstheme="minorBidi"/>
          <w:szCs w:val="28"/>
        </w:rPr>
        <w:sectPr>
          <w:pgSz w:w="16838" w:h="11906" w:orient="landscape"/>
          <w:pgMar w:top="1797" w:right="1440" w:bottom="1797" w:left="1440" w:header="851" w:footer="992" w:gutter="0"/>
          <w:cols w:space="425" w:num="1"/>
          <w:docGrid w:type="linesAndChars" w:linePitch="312" w:charSpace="0"/>
        </w:sectPr>
      </w:pPr>
    </w:p>
    <w:p>
      <w:pPr>
        <w:spacing w:before="240" w:beforeLines="100" w:after="120" w:afterLines="50" w:line="240" w:lineRule="auto"/>
        <w:ind w:firstLine="480"/>
        <w:rPr>
          <w:rFonts w:eastAsia="黑体" w:cstheme="minorBidi"/>
          <w:sz w:val="24"/>
        </w:rPr>
      </w:pPr>
      <w:r>
        <w:rPr>
          <w:rFonts w:hint="eastAsia" w:eastAsia="黑体" w:cstheme="minorBidi"/>
          <w:sz w:val="24"/>
        </w:rPr>
        <w:t>四、可能存在的风险物质的安全评估</w:t>
      </w:r>
    </w:p>
    <w:p>
      <w:pPr>
        <w:ind w:firstLine="420"/>
        <w:rPr>
          <w:rFonts w:ascii="Times New Roman" w:hAnsi="Times New Roman" w:eastAsia="宋体" w:cstheme="minorBidi"/>
          <w:sz w:val="21"/>
        </w:rPr>
      </w:pPr>
      <w:r>
        <w:rPr>
          <w:rFonts w:hint="eastAsia" w:ascii="Times New Roman" w:hAnsi="Times New Roman" w:eastAsia="宋体" w:cstheme="minorBidi"/>
          <w:sz w:val="21"/>
        </w:rPr>
        <w:t>本产品的生产符合国家相关法律法规，对生产过程和产品包装材料进行严格的管理和控制，产品的风险物质识别是基于原料供应商提供的产品规格以及原料生产工艺，对化妆品中可能存在的安全性风险物质进行危害识别，并进行风险评估。基于评估结果，认为相关风险物质在本产品正常及合理的、可预见的使用条件下，不会对人体造成潜在危害。风险物质检测报告或涉及特殊风险物质的相关原料规格见附件。</w:t>
      </w:r>
    </w:p>
    <w:p>
      <w:pPr>
        <w:ind w:firstLine="420"/>
        <w:rPr>
          <w:rFonts w:ascii="Times New Roman" w:hAnsi="Times New Roman" w:eastAsia="宋体" w:cstheme="minorBidi"/>
          <w:sz w:val="21"/>
        </w:rPr>
      </w:pPr>
      <w:r>
        <w:rPr>
          <w:rFonts w:hint="eastAsia" w:ascii="Times New Roman" w:hAnsi="Times New Roman" w:eastAsia="宋体" w:cstheme="minorBidi"/>
          <w:sz w:val="21"/>
        </w:rPr>
        <w:t>根据原料的理化特性、生产工艺、现有毒理学试验数据、临床研究、人群流行病学调查等资料，经危害识别该产品可能含有以下风险物质：</w:t>
      </w:r>
      <w:r>
        <w:rPr>
          <w:rFonts w:ascii="Times New Roman" w:hAnsi="Times New Roman" w:eastAsia="宋体" w:cstheme="minorBidi"/>
          <w:sz w:val="21"/>
        </w:rPr>
        <w:t xml:space="preserve"> </w:t>
      </w:r>
    </w:p>
    <w:p>
      <w:pPr>
        <w:spacing w:before="120" w:beforeLines="50" w:line="240" w:lineRule="auto"/>
        <w:ind w:firstLine="420"/>
        <w:jc w:val="center"/>
        <w:rPr>
          <w:rFonts w:cstheme="minorBidi"/>
          <w:b/>
          <w:szCs w:val="28"/>
        </w:rPr>
      </w:pPr>
      <w:r>
        <w:rPr>
          <w:rFonts w:hint="eastAsia" w:ascii="黑体" w:hAnsi="黑体" w:eastAsia="黑体" w:cs="黑体"/>
          <w:bCs/>
          <w:sz w:val="21"/>
          <w:szCs w:val="21"/>
        </w:rPr>
        <w:t>表2化妆品中安全性风险物质危害识别表</w:t>
      </w:r>
    </w:p>
    <w:tbl>
      <w:tblPr>
        <w:tblStyle w:val="67"/>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864"/>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2404" w:type="dxa"/>
            <w:vAlign w:val="center"/>
          </w:tcPr>
          <w:p>
            <w:pPr>
              <w:spacing w:line="220" w:lineRule="exact"/>
              <w:ind w:firstLine="0" w:firstLineChars="0"/>
              <w:jc w:val="center"/>
              <w:rPr>
                <w:rFonts w:ascii="黑体" w:hAnsi="黑体" w:eastAsia="黑体" w:cs="黑体"/>
                <w:sz w:val="18"/>
              </w:rPr>
            </w:pPr>
            <w:r>
              <w:rPr>
                <w:rFonts w:hint="eastAsia" w:ascii="黑体" w:hAnsi="黑体" w:eastAsia="黑体" w:cs="黑体"/>
                <w:sz w:val="18"/>
              </w:rPr>
              <w:t>标准中文名称</w:t>
            </w:r>
          </w:p>
        </w:tc>
        <w:tc>
          <w:tcPr>
            <w:tcW w:w="1864" w:type="dxa"/>
            <w:vAlign w:val="center"/>
          </w:tcPr>
          <w:p>
            <w:pPr>
              <w:spacing w:line="220" w:lineRule="exact"/>
              <w:ind w:firstLine="0" w:firstLineChars="0"/>
              <w:jc w:val="center"/>
              <w:rPr>
                <w:rFonts w:ascii="黑体" w:hAnsi="黑体" w:eastAsia="黑体" w:cs="黑体"/>
                <w:sz w:val="18"/>
              </w:rPr>
            </w:pPr>
            <w:r>
              <w:rPr>
                <w:rFonts w:hint="eastAsia" w:ascii="黑体" w:hAnsi="黑体" w:eastAsia="黑体" w:cs="黑体"/>
                <w:sz w:val="18"/>
              </w:rPr>
              <w:t>可能含有的风险物质</w:t>
            </w:r>
          </w:p>
        </w:tc>
        <w:tc>
          <w:tcPr>
            <w:tcW w:w="4591" w:type="dxa"/>
            <w:vAlign w:val="center"/>
          </w:tcPr>
          <w:p>
            <w:pPr>
              <w:spacing w:line="220" w:lineRule="exact"/>
              <w:ind w:firstLine="0" w:firstLineChars="0"/>
              <w:jc w:val="center"/>
              <w:rPr>
                <w:rFonts w:ascii="黑体" w:hAnsi="黑体" w:eastAsia="黑体" w:cs="黑体"/>
                <w:sz w:val="18"/>
              </w:rPr>
            </w:pPr>
            <w:r>
              <w:rPr>
                <w:rFonts w:hint="eastAsia" w:ascii="黑体" w:hAnsi="黑体" w:eastAsia="黑体" w:cs="黑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水</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甘油</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二甘醇</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欧洲消费者安全科学委员会（</w:t>
            </w:r>
            <w:r>
              <w:rPr>
                <w:rFonts w:ascii="Times New Roman" w:hAnsi="Times New Roman" w:eastAsia="宋体" w:cstheme="minorBidi"/>
                <w:sz w:val="18"/>
              </w:rPr>
              <w:t>SCCS</w:t>
            </w:r>
            <w:r>
              <w:rPr>
                <w:rFonts w:hint="eastAsia" w:ascii="Times New Roman" w:hAnsi="Times New Roman" w:eastAsia="宋体" w:cstheme="minorBidi"/>
                <w:sz w:val="18"/>
              </w:rPr>
              <w:t>）关于二甘醇杂质的意见中，浓度不超过</w:t>
            </w:r>
            <w:r>
              <w:rPr>
                <w:rFonts w:ascii="Times New Roman" w:hAnsi="Times New Roman" w:eastAsia="宋体" w:cstheme="minorBidi"/>
                <w:sz w:val="18"/>
              </w:rPr>
              <w:t>0.1%</w:t>
            </w:r>
            <w:r>
              <w:rPr>
                <w:rFonts w:hint="eastAsia" w:ascii="Times New Roman" w:hAnsi="Times New Roman" w:eastAsia="宋体" w:cstheme="minorBidi"/>
                <w:sz w:val="18"/>
              </w:rPr>
              <w:t>时，其在化妆品中的存在是安全的。</w:t>
            </w:r>
          </w:p>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终产品二甘醇的检验报告附后。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角鲨烷</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1,3-丙二醇</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二甘醇</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欧洲消费者安全科学委员会（SCCS）关于二甘醇杂质的意见中，浓度不超过0.1%时，其在化妆品中的存在是安全的。</w:t>
            </w:r>
          </w:p>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终产品二甘醇的检验报告附后。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苯氧乙醇</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苯酚</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苯酚：根据日本化妆品标准允许使用的防腐剂中，苯酚在化妆品中的限量为0.1g/100g，本产品中苯酚含量为0.002g/100g，因此，本原料不具有安全性风险，不会对人体健康造成潜在的危害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墨角藻（FUCUS VESICULOSUS）提取物</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异鲸蜡醇</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花生醇</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香精</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蜂蜜</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240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氯化镁</w:t>
            </w:r>
          </w:p>
        </w:tc>
        <w:tc>
          <w:tcPr>
            <w:tcW w:w="1864" w:type="dxa"/>
            <w:vAlign w:val="center"/>
          </w:tcPr>
          <w:p>
            <w:pPr>
              <w:spacing w:line="220" w:lineRule="exact"/>
              <w:ind w:firstLine="0" w:firstLineChars="0"/>
              <w:jc w:val="center"/>
              <w:rPr>
                <w:rFonts w:ascii="Times New Roman" w:hAnsi="Times New Roman" w:eastAsia="宋体" w:cstheme="minorBidi"/>
                <w:sz w:val="18"/>
              </w:rPr>
            </w:pPr>
            <w:r>
              <w:rPr>
                <w:rFonts w:hint="eastAsia" w:ascii="Times New Roman" w:hAnsi="Times New Roman" w:eastAsia="宋体" w:cstheme="minorBidi"/>
                <w:sz w:val="18"/>
              </w:rPr>
              <w:t>无</w:t>
            </w:r>
          </w:p>
        </w:tc>
        <w:tc>
          <w:tcPr>
            <w:tcW w:w="4591" w:type="dxa"/>
            <w:vAlign w:val="center"/>
          </w:tcPr>
          <w:p>
            <w:pPr>
              <w:spacing w:line="220" w:lineRule="exact"/>
              <w:ind w:firstLine="0" w:firstLineChars="0"/>
              <w:jc w:val="center"/>
              <w:rPr>
                <w:rFonts w:ascii="Times New Roman" w:hAnsi="Times New Roman" w:eastAsia="宋体" w:cstheme="minorBidi"/>
                <w:sz w:val="18"/>
              </w:rPr>
            </w:pPr>
            <w:r>
              <w:rPr>
                <w:rFonts w:ascii="Times New Roman" w:hAnsi="Times New Roman" w:eastAsia="宋体" w:cstheme="minorBidi"/>
                <w:sz w:val="18"/>
              </w:rPr>
              <w:t>/</w:t>
            </w:r>
          </w:p>
        </w:tc>
      </w:tr>
    </w:tbl>
    <w:p>
      <w:pPr>
        <w:spacing w:before="120" w:beforeLines="50"/>
        <w:ind w:firstLine="420"/>
        <w:rPr>
          <w:rFonts w:hAnsi="Times New Roman" w:cstheme="minorBidi"/>
          <w:sz w:val="21"/>
          <w:szCs w:val="28"/>
        </w:rPr>
      </w:pPr>
      <w:r>
        <w:rPr>
          <w:rFonts w:hint="eastAsia" w:ascii="Times New Roman" w:hAnsi="Times New Roman" w:eastAsia="宋体" w:cstheme="minorBidi"/>
          <w:sz w:val="21"/>
        </w:rPr>
        <w:t>此外，该产品的检验报告显示其铅、汞、砷、镉、二噁烷检验结果符合《化妆品安全技术规范》（</w:t>
      </w:r>
      <w:r>
        <w:rPr>
          <w:rFonts w:ascii="Times New Roman" w:hAnsi="Times New Roman" w:eastAsia="宋体" w:cstheme="minorBidi"/>
          <w:sz w:val="21"/>
        </w:rPr>
        <w:t>2015</w:t>
      </w:r>
      <w:r>
        <w:rPr>
          <w:rFonts w:hint="eastAsia" w:ascii="Times New Roman" w:hAnsi="Times New Roman" w:eastAsia="宋体" w:cstheme="minorBidi"/>
          <w:sz w:val="21"/>
        </w:rPr>
        <w:t>年版）表</w:t>
      </w:r>
      <w:r>
        <w:rPr>
          <w:rFonts w:ascii="Times New Roman" w:hAnsi="Times New Roman" w:eastAsia="宋体" w:cstheme="minorBidi"/>
          <w:sz w:val="21"/>
        </w:rPr>
        <w:t>2</w:t>
      </w:r>
      <w:r>
        <w:rPr>
          <w:rFonts w:hint="eastAsia" w:ascii="Times New Roman" w:hAnsi="Times New Roman" w:eastAsia="宋体" w:cstheme="minorBidi"/>
          <w:sz w:val="21"/>
        </w:rPr>
        <w:t>《化妆品中有害物质限量》与其对应的指标要求。</w:t>
      </w:r>
    </w:p>
    <w:p>
      <w:pPr>
        <w:spacing w:before="240" w:beforeLines="100" w:after="120" w:afterLines="50" w:line="240" w:lineRule="auto"/>
        <w:ind w:firstLine="480"/>
        <w:rPr>
          <w:rFonts w:eastAsia="黑体" w:cstheme="minorBidi"/>
          <w:sz w:val="24"/>
        </w:rPr>
      </w:pPr>
      <w:r>
        <w:rPr>
          <w:rFonts w:hint="eastAsia" w:eastAsia="黑体" w:cstheme="minorBidi"/>
          <w:sz w:val="24"/>
        </w:rPr>
        <w:t>五、安全评估结论</w:t>
      </w:r>
    </w:p>
    <w:p>
      <w:pPr>
        <w:ind w:firstLine="420"/>
        <w:rPr>
          <w:rFonts w:ascii="Times New Roman" w:hAnsi="Times New Roman" w:eastAsia="宋体" w:cstheme="minorBidi"/>
          <w:sz w:val="21"/>
        </w:rPr>
      </w:pPr>
      <w:r>
        <w:rPr>
          <w:rFonts w:hint="eastAsia" w:ascii="Times New Roman" w:hAnsi="Times New Roman" w:eastAsia="宋体" w:cstheme="minorBidi"/>
          <w:sz w:val="21"/>
        </w:rPr>
        <w:t>本产品为面霜（驻留类产品），可每日使用，涂抹于面部。主要暴露方式为经皮吸收，根据产品的特性，对本产品的暴露评估仅考虑经皮途径。</w:t>
      </w:r>
    </w:p>
    <w:p>
      <w:pPr>
        <w:ind w:firstLine="420"/>
        <w:rPr>
          <w:rFonts w:ascii="Times New Roman" w:hAnsi="Times New Roman" w:eastAsia="宋体" w:cstheme="minorBidi"/>
          <w:sz w:val="21"/>
        </w:rPr>
      </w:pPr>
      <w:r>
        <w:rPr>
          <w:rFonts w:hint="eastAsia" w:ascii="Times New Roman" w:hAnsi="Times New Roman" w:eastAsia="宋体" w:cstheme="minorBidi"/>
          <w:sz w:val="21"/>
        </w:rPr>
        <w:t>通过对产品以下各方面的综合评估：</w:t>
      </w:r>
    </w:p>
    <w:p>
      <w:pPr>
        <w:ind w:firstLine="420"/>
        <w:rPr>
          <w:rFonts w:ascii="Times New Roman" w:hAnsi="Times New Roman" w:eastAsia="宋体" w:cstheme="minorBidi"/>
          <w:sz w:val="21"/>
        </w:rPr>
      </w:pPr>
      <w:r>
        <w:rPr>
          <w:rFonts w:hint="eastAsia" w:ascii="Times New Roman" w:hAnsi="Times New Roman" w:eastAsia="宋体" w:cstheme="minorBidi"/>
          <w:sz w:val="21"/>
        </w:rPr>
        <w:t>1、各成分的安全评估结果显示，所有成分在本产品浓度下不会对人体健康产生危害；</w:t>
      </w:r>
    </w:p>
    <w:p>
      <w:pPr>
        <w:ind w:firstLine="420"/>
        <w:rPr>
          <w:rFonts w:ascii="Times New Roman" w:hAnsi="Times New Roman" w:eastAsia="宋体" w:cstheme="minorBidi"/>
          <w:sz w:val="21"/>
        </w:rPr>
      </w:pPr>
      <w:r>
        <w:rPr>
          <w:rFonts w:hint="eastAsia" w:ascii="Times New Roman" w:hAnsi="Times New Roman" w:eastAsia="宋体" w:cstheme="minorBidi"/>
          <w:sz w:val="21"/>
        </w:rPr>
        <w:t>2、可能存在的安全性风险物质检测及评估结果显示，不会对人体健康产生危害；</w:t>
      </w:r>
    </w:p>
    <w:p>
      <w:pPr>
        <w:ind w:firstLine="420"/>
        <w:rPr>
          <w:rFonts w:ascii="Times New Roman" w:hAnsi="Times New Roman" w:eastAsia="宋体" w:cstheme="minorBidi"/>
          <w:sz w:val="21"/>
        </w:rPr>
      </w:pPr>
      <w:r>
        <w:rPr>
          <w:rFonts w:ascii="Times New Roman" w:hAnsi="Times New Roman" w:eastAsia="宋体" w:cstheme="minorBidi"/>
          <w:sz w:val="21"/>
        </w:rPr>
        <w:t>3</w:t>
      </w:r>
      <w:r>
        <w:rPr>
          <w:rFonts w:hint="eastAsia" w:ascii="Times New Roman" w:hAnsi="Times New Roman" w:eastAsia="宋体" w:cstheme="minorBidi"/>
          <w:sz w:val="21"/>
        </w:rPr>
        <w:t>、防腐剂挑战试验结果符合有关要求；</w:t>
      </w:r>
    </w:p>
    <w:p>
      <w:pPr>
        <w:ind w:firstLine="420"/>
        <w:rPr>
          <w:rFonts w:ascii="Times New Roman" w:hAnsi="Times New Roman" w:eastAsia="宋体" w:cstheme="minorBidi"/>
          <w:sz w:val="21"/>
        </w:rPr>
      </w:pPr>
      <w:r>
        <w:rPr>
          <w:rFonts w:ascii="Times New Roman" w:hAnsi="Times New Roman" w:eastAsia="宋体" w:cstheme="minorBidi"/>
          <w:sz w:val="21"/>
        </w:rPr>
        <w:t>4</w:t>
      </w:r>
      <w:r>
        <w:rPr>
          <w:rFonts w:hint="eastAsia" w:ascii="Times New Roman" w:hAnsi="Times New Roman" w:eastAsia="宋体" w:cstheme="minorBidi"/>
          <w:sz w:val="21"/>
        </w:rPr>
        <w:t xml:space="preserve">、微生物检验结果显示该产品微生物符合《化妆品安全技术规范》（2015年版）有关要求； </w:t>
      </w:r>
    </w:p>
    <w:p>
      <w:pPr>
        <w:ind w:firstLine="420"/>
        <w:rPr>
          <w:rFonts w:ascii="Times New Roman" w:hAnsi="Times New Roman" w:eastAsia="宋体" w:cstheme="minorBidi"/>
          <w:sz w:val="21"/>
        </w:rPr>
      </w:pPr>
      <w:r>
        <w:rPr>
          <w:rFonts w:ascii="Times New Roman" w:hAnsi="Times New Roman" w:eastAsia="宋体" w:cstheme="minorBidi"/>
          <w:sz w:val="21"/>
        </w:rPr>
        <w:t>5</w:t>
      </w:r>
      <w:r>
        <w:rPr>
          <w:rFonts w:hint="eastAsia" w:ascii="Times New Roman" w:hAnsi="Times New Roman" w:eastAsia="宋体" w:cstheme="minorBidi"/>
          <w:sz w:val="21"/>
        </w:rPr>
        <w:t>、有害物质检测结果显示，该产品有害物质含量符合《化妆品安全技术规范》（2015年版）有关要求;</w:t>
      </w:r>
    </w:p>
    <w:p>
      <w:pPr>
        <w:ind w:firstLine="420"/>
        <w:rPr>
          <w:rFonts w:ascii="Times New Roman" w:hAnsi="Times New Roman" w:eastAsia="宋体" w:cstheme="minorBidi"/>
          <w:sz w:val="21"/>
        </w:rPr>
      </w:pPr>
      <w:r>
        <w:rPr>
          <w:rFonts w:hint="eastAsia" w:ascii="Times New Roman" w:hAnsi="Times New Roman" w:eastAsia="宋体" w:cstheme="minorBidi"/>
          <w:sz w:val="21"/>
        </w:rPr>
        <w:t>6、产品的理化特性、稳定性检测结果显示，符合相关要求；</w:t>
      </w:r>
    </w:p>
    <w:p>
      <w:pPr>
        <w:ind w:firstLine="420"/>
        <w:rPr>
          <w:rFonts w:ascii="Times New Roman" w:hAnsi="Times New Roman" w:eastAsia="宋体" w:cstheme="minorBidi"/>
          <w:sz w:val="21"/>
        </w:rPr>
      </w:pPr>
      <w:r>
        <w:rPr>
          <w:rFonts w:ascii="Times New Roman" w:hAnsi="Times New Roman" w:eastAsia="宋体" w:cstheme="minorBidi"/>
          <w:sz w:val="21"/>
        </w:rPr>
        <w:t>7</w:t>
      </w:r>
      <w:r>
        <w:rPr>
          <w:rFonts w:hint="eastAsia" w:ascii="Times New Roman" w:hAnsi="Times New Roman" w:eastAsia="宋体" w:cstheme="minorBidi"/>
          <w:sz w:val="21"/>
        </w:rPr>
        <w:t>、产品与包装材料的相容性评估结果显示，符合相关要求；</w:t>
      </w:r>
    </w:p>
    <w:p>
      <w:pPr>
        <w:ind w:firstLine="420"/>
        <w:rPr>
          <w:rFonts w:ascii="Times New Roman" w:hAnsi="Times New Roman" w:eastAsia="宋体" w:cstheme="minorBidi"/>
          <w:sz w:val="21"/>
        </w:rPr>
      </w:pPr>
      <w:r>
        <w:rPr>
          <w:rFonts w:ascii="Times New Roman" w:hAnsi="Times New Roman" w:eastAsia="宋体" w:cstheme="minorBidi"/>
          <w:sz w:val="21"/>
        </w:rPr>
        <w:t>8</w:t>
      </w:r>
      <w:r>
        <w:rPr>
          <w:rFonts w:hint="eastAsia" w:ascii="Times New Roman" w:hAnsi="Times New Roman" w:eastAsia="宋体" w:cstheme="minorBidi"/>
          <w:sz w:val="21"/>
        </w:rPr>
        <w:t>、配方中各成分之间未预见发生有害的相互作用；</w:t>
      </w:r>
    </w:p>
    <w:p>
      <w:pPr>
        <w:ind w:firstLine="420"/>
        <w:rPr>
          <w:rFonts w:ascii="Times New Roman" w:hAnsi="Times New Roman" w:eastAsia="宋体" w:cstheme="minorBidi"/>
          <w:sz w:val="21"/>
        </w:rPr>
      </w:pPr>
      <w:r>
        <w:rPr>
          <w:rFonts w:ascii="Times New Roman" w:hAnsi="Times New Roman" w:eastAsia="宋体" w:cstheme="minorBidi"/>
          <w:sz w:val="21"/>
        </w:rPr>
        <w:t>9</w:t>
      </w:r>
      <w:r>
        <w:rPr>
          <w:rFonts w:hint="eastAsia" w:ascii="Times New Roman" w:hAnsi="Times New Roman" w:eastAsia="宋体" w:cstheme="minorBidi"/>
          <w:sz w:val="21"/>
        </w:rPr>
        <w:t>、上市后的安全监测信息将随时补充入评估资料。</w:t>
      </w:r>
    </w:p>
    <w:p>
      <w:pPr>
        <w:ind w:firstLine="420"/>
        <w:rPr>
          <w:rFonts w:ascii="Times New Roman" w:hAnsi="Times New Roman" w:eastAsia="宋体" w:cstheme="minorBidi"/>
          <w:sz w:val="21"/>
        </w:rPr>
      </w:pPr>
      <w:r>
        <w:rPr>
          <w:rFonts w:hint="eastAsia" w:ascii="Times New Roman" w:hAnsi="Times New Roman" w:eastAsia="宋体" w:cstheme="minorBidi"/>
          <w:sz w:val="21"/>
        </w:rPr>
        <w:t>综上，认为该产品在正常及合理、可预见的使用条件下，风险在可接受的范围之内，不会对人体健康产生危害。</w:t>
      </w:r>
    </w:p>
    <w:p>
      <w:pPr>
        <w:spacing w:before="240" w:beforeLines="100" w:after="120" w:afterLines="50" w:line="240" w:lineRule="auto"/>
        <w:ind w:firstLine="480"/>
        <w:rPr>
          <w:rFonts w:eastAsia="黑体" w:cstheme="minorBidi"/>
          <w:sz w:val="24"/>
        </w:rPr>
      </w:pPr>
      <w:r>
        <w:rPr>
          <w:rFonts w:hint="eastAsia" w:eastAsia="黑体" w:cstheme="minorBidi"/>
          <w:sz w:val="24"/>
        </w:rPr>
        <w:t xml:space="preserve">六、安全评估人员的签名 </w:t>
      </w:r>
    </w:p>
    <w:p>
      <w:pPr>
        <w:ind w:firstLine="420"/>
        <w:rPr>
          <w:rFonts w:ascii="Times New Roman" w:hAnsi="Times New Roman" w:eastAsia="宋体" w:cstheme="minorBidi"/>
          <w:sz w:val="21"/>
        </w:rPr>
      </w:pPr>
      <w:r>
        <w:rPr>
          <w:rFonts w:hint="eastAsia" w:ascii="Times New Roman" w:hAnsi="Times New Roman" w:eastAsia="宋体" w:cstheme="minorBidi"/>
          <w:sz w:val="21"/>
        </w:rPr>
        <w:t xml:space="preserve">评估人：XXXX    </w:t>
      </w:r>
    </w:p>
    <w:p>
      <w:pPr>
        <w:ind w:firstLine="420"/>
        <w:rPr>
          <w:rFonts w:ascii="Times New Roman" w:hAnsi="Times New Roman" w:eastAsia="宋体" w:cstheme="minorBidi"/>
          <w:sz w:val="21"/>
        </w:rPr>
      </w:pPr>
      <w:r>
        <w:rPr>
          <w:rFonts w:hint="eastAsia" w:ascii="Times New Roman" w:hAnsi="Times New Roman" w:eastAsia="宋体" w:cstheme="minorBidi"/>
          <w:sz w:val="21"/>
        </w:rPr>
        <w:t>日期：2020年XX月XX日</w:t>
      </w:r>
    </w:p>
    <w:p>
      <w:pPr>
        <w:ind w:firstLine="420"/>
        <w:rPr>
          <w:rFonts w:ascii="Times New Roman" w:hAnsi="Times New Roman" w:eastAsia="宋体" w:cstheme="minorBidi"/>
          <w:sz w:val="21"/>
        </w:rPr>
      </w:pPr>
      <w:r>
        <w:rPr>
          <w:rFonts w:hint="eastAsia" w:ascii="Times New Roman" w:hAnsi="Times New Roman" w:eastAsia="宋体" w:cstheme="minorBidi"/>
          <w:sz w:val="21"/>
        </w:rPr>
        <w:t>地址：XXXXXXXXXXXXXXX</w:t>
      </w:r>
    </w:p>
    <w:p>
      <w:pPr>
        <w:spacing w:before="240" w:beforeLines="100" w:after="120" w:afterLines="50" w:line="240" w:lineRule="auto"/>
        <w:ind w:firstLine="480"/>
        <w:rPr>
          <w:rFonts w:eastAsia="黑体" w:cstheme="minorBidi"/>
          <w:sz w:val="24"/>
        </w:rPr>
      </w:pPr>
      <w:r>
        <w:rPr>
          <w:rFonts w:hint="eastAsia" w:eastAsia="黑体" w:cstheme="minorBidi"/>
          <w:sz w:val="24"/>
        </w:rPr>
        <w:t>七、安全评估人员简历</w:t>
      </w:r>
    </w:p>
    <w:p>
      <w:pPr>
        <w:spacing w:before="240" w:beforeLines="100" w:after="120" w:afterLines="50" w:line="240" w:lineRule="auto"/>
        <w:ind w:firstLine="480"/>
        <w:rPr>
          <w:rFonts w:eastAsia="黑体" w:cstheme="minorBidi"/>
          <w:sz w:val="24"/>
        </w:rPr>
      </w:pPr>
      <w:r>
        <w:rPr>
          <w:rFonts w:hint="eastAsia" w:eastAsia="黑体" w:cstheme="minorBidi"/>
          <w:sz w:val="24"/>
        </w:rPr>
        <w:t>八、参考文献（略）</w:t>
      </w:r>
    </w:p>
    <w:p>
      <w:pPr>
        <w:ind w:firstLine="420"/>
        <w:rPr>
          <w:rFonts w:ascii="Times New Roman" w:hAnsi="Times New Roman" w:eastAsia="宋体" w:cstheme="minorBidi"/>
          <w:sz w:val="21"/>
        </w:rPr>
      </w:pPr>
      <w:r>
        <w:rPr>
          <w:rFonts w:hint="eastAsia" w:ascii="Times New Roman" w:hAnsi="Times New Roman" w:eastAsia="宋体" w:cstheme="minorBidi"/>
          <w:sz w:val="21"/>
        </w:rPr>
        <w:t>格式举例：</w:t>
      </w:r>
    </w:p>
    <w:p>
      <w:pPr>
        <w:ind w:firstLine="420"/>
        <w:rPr>
          <w:rFonts w:ascii="Times New Roman" w:hAnsi="Times New Roman" w:eastAsia="宋体" w:cstheme="minorBidi"/>
          <w:sz w:val="21"/>
        </w:rPr>
      </w:pPr>
      <w:r>
        <w:rPr>
          <w:rFonts w:hint="eastAsia" w:ascii="Times New Roman" w:hAnsi="Times New Roman" w:eastAsia="宋体" w:cstheme="minorBidi"/>
          <w:sz w:val="21"/>
        </w:rPr>
        <w:t>1. 国家食品药品监督管理总局。关于发布化妆品安全技术规范（2015年版）的公告。2015年第268号</w:t>
      </w:r>
    </w:p>
    <w:p>
      <w:pPr>
        <w:ind w:firstLine="420"/>
        <w:rPr>
          <w:rFonts w:ascii="Times New Roman" w:hAnsi="Times New Roman" w:eastAsia="宋体" w:cstheme="minorBidi"/>
          <w:sz w:val="21"/>
        </w:rPr>
      </w:pPr>
      <w:r>
        <w:rPr>
          <w:rFonts w:hint="eastAsia" w:ascii="Times New Roman" w:hAnsi="Times New Roman" w:eastAsia="宋体" w:cstheme="minorBidi"/>
          <w:sz w:val="21"/>
        </w:rPr>
        <w:t xml:space="preserve">2. </w:t>
      </w:r>
      <w:r>
        <w:rPr>
          <w:rFonts w:ascii="Times New Roman" w:hAnsi="Times New Roman" w:eastAsia="宋体" w:cstheme="minorBidi"/>
          <w:sz w:val="21"/>
        </w:rPr>
        <w:t>Ralph Gingell</w:t>
      </w:r>
      <w:r>
        <w:rPr>
          <w:rFonts w:hint="eastAsia" w:ascii="Times New Roman" w:hAnsi="Times New Roman" w:eastAsia="宋体" w:cstheme="minorBidi"/>
          <w:sz w:val="21"/>
        </w:rPr>
        <w:t>,</w:t>
      </w:r>
      <w:r>
        <w:rPr>
          <w:rFonts w:ascii="Times New Roman" w:hAnsi="Times New Roman" w:eastAsia="宋体" w:cstheme="minorBidi"/>
          <w:sz w:val="21"/>
        </w:rPr>
        <w:t xml:space="preserve"> Jeannie B</w:t>
      </w:r>
      <w:r>
        <w:rPr>
          <w:rFonts w:hint="eastAsia" w:ascii="Times New Roman" w:hAnsi="Times New Roman" w:eastAsia="宋体" w:cstheme="minorBidi"/>
          <w:sz w:val="21"/>
        </w:rPr>
        <w:t xml:space="preserve">. </w:t>
      </w:r>
      <w:r>
        <w:rPr>
          <w:rFonts w:ascii="Times New Roman" w:hAnsi="Times New Roman" w:eastAsia="宋体" w:cstheme="minorBidi"/>
          <w:sz w:val="21"/>
        </w:rPr>
        <w:t>Kirkpatrick</w:t>
      </w:r>
      <w:r>
        <w:rPr>
          <w:rFonts w:hint="eastAsia" w:ascii="Times New Roman" w:hAnsi="Times New Roman" w:eastAsia="宋体" w:cstheme="minorBidi"/>
          <w:sz w:val="21"/>
        </w:rPr>
        <w:t>,</w:t>
      </w:r>
      <w:r>
        <w:rPr>
          <w:rFonts w:ascii="Times New Roman" w:hAnsi="Times New Roman" w:eastAsia="宋体" w:cstheme="minorBidi"/>
          <w:sz w:val="21"/>
        </w:rPr>
        <w:t xml:space="preserve"> and David R.</w:t>
      </w:r>
      <w:r>
        <w:rPr>
          <w:rFonts w:hint="eastAsia" w:ascii="Times New Roman" w:hAnsi="Times New Roman" w:eastAsia="宋体" w:cstheme="minorBidi"/>
          <w:sz w:val="21"/>
        </w:rPr>
        <w:t xml:space="preserve"> </w:t>
      </w:r>
      <w:r>
        <w:rPr>
          <w:rFonts w:ascii="Times New Roman" w:hAnsi="Times New Roman" w:eastAsia="宋体" w:cstheme="minorBidi"/>
          <w:sz w:val="21"/>
        </w:rPr>
        <w:t>Subchronic Toxicity Study of 1,3-Propanediol</w:t>
      </w:r>
      <w:r>
        <w:rPr>
          <w:rFonts w:hint="eastAsia" w:ascii="Times New Roman" w:hAnsi="Times New Roman" w:eastAsia="宋体" w:cstheme="minorBidi"/>
          <w:sz w:val="21"/>
        </w:rPr>
        <w:t xml:space="preserve"> </w:t>
      </w:r>
      <w:r>
        <w:rPr>
          <w:rFonts w:ascii="Times New Roman" w:hAnsi="Times New Roman" w:eastAsia="宋体" w:cstheme="minorBidi"/>
          <w:sz w:val="21"/>
        </w:rPr>
        <w:t>Administered Orally to Rats</w:t>
      </w:r>
      <w:r>
        <w:rPr>
          <w:rFonts w:hint="eastAsia" w:ascii="Times New Roman" w:hAnsi="Times New Roman" w:eastAsia="宋体" w:cstheme="minorBidi"/>
          <w:sz w:val="21"/>
        </w:rPr>
        <w:t xml:space="preserve">. </w:t>
      </w:r>
      <w:r>
        <w:rPr>
          <w:rFonts w:ascii="Times New Roman" w:hAnsi="Times New Roman" w:eastAsia="宋体" w:cstheme="minorBidi"/>
          <w:sz w:val="21"/>
        </w:rPr>
        <w:t>International Journal of Toxicology, 2000</w:t>
      </w:r>
      <w:r>
        <w:rPr>
          <w:rFonts w:hint="eastAsia" w:ascii="Times New Roman" w:hAnsi="Times New Roman" w:eastAsia="宋体" w:cstheme="minorBidi"/>
          <w:sz w:val="21"/>
        </w:rPr>
        <w:t>,</w:t>
      </w:r>
      <w:r>
        <w:rPr>
          <w:rFonts w:ascii="Times New Roman" w:hAnsi="Times New Roman" w:eastAsia="宋体" w:cstheme="minorBidi"/>
          <w:sz w:val="21"/>
        </w:rPr>
        <w:t>19:</w:t>
      </w:r>
      <w:r>
        <w:rPr>
          <w:rFonts w:hint="eastAsia" w:ascii="Times New Roman" w:hAnsi="Times New Roman" w:eastAsia="宋体" w:cstheme="minorBidi"/>
          <w:sz w:val="21"/>
        </w:rPr>
        <w:t xml:space="preserve"> </w:t>
      </w:r>
      <w:r>
        <w:rPr>
          <w:rFonts w:ascii="Times New Roman" w:hAnsi="Times New Roman" w:eastAsia="宋体" w:cstheme="minorBidi"/>
          <w:sz w:val="21"/>
        </w:rPr>
        <w:t>27–32</w:t>
      </w:r>
    </w:p>
    <w:p>
      <w:pPr>
        <w:ind w:firstLine="420"/>
        <w:rPr>
          <w:rFonts w:ascii="Times New Roman" w:hAnsi="Times New Roman" w:eastAsia="宋体" w:cstheme="minorBidi"/>
          <w:sz w:val="21"/>
        </w:rPr>
      </w:pPr>
      <w:r>
        <w:rPr>
          <w:rFonts w:hint="eastAsia" w:ascii="Times New Roman" w:hAnsi="Times New Roman" w:eastAsia="宋体" w:cstheme="minorBidi"/>
          <w:sz w:val="21"/>
        </w:rPr>
        <w:t xml:space="preserve">3. </w:t>
      </w:r>
      <w:r>
        <w:rPr>
          <w:rFonts w:ascii="Times New Roman" w:hAnsi="Times New Roman" w:eastAsia="宋体" w:cstheme="minorBidi"/>
          <w:sz w:val="21"/>
        </w:rPr>
        <w:t>Safety Assessment of</w:t>
      </w:r>
      <w:r>
        <w:rPr>
          <w:rFonts w:hint="eastAsia" w:ascii="Times New Roman" w:hAnsi="Times New Roman" w:eastAsia="宋体" w:cstheme="minorBidi"/>
          <w:sz w:val="21"/>
        </w:rPr>
        <w:t xml:space="preserve"> </w:t>
      </w:r>
      <w:r>
        <w:rPr>
          <w:rFonts w:ascii="Times New Roman" w:hAnsi="Times New Roman" w:eastAsia="宋体" w:cstheme="minorBidi"/>
          <w:sz w:val="21"/>
        </w:rPr>
        <w:t>Brown Algae-Derived Ingredients</w:t>
      </w:r>
      <w:r>
        <w:rPr>
          <w:rFonts w:hint="eastAsia" w:ascii="Times New Roman" w:hAnsi="Times New Roman" w:eastAsia="宋体" w:cstheme="minorBidi"/>
          <w:sz w:val="21"/>
        </w:rPr>
        <w:t xml:space="preserve"> </w:t>
      </w:r>
      <w:r>
        <w:rPr>
          <w:rFonts w:ascii="Times New Roman" w:hAnsi="Times New Roman" w:eastAsia="宋体" w:cstheme="minorBidi"/>
          <w:sz w:val="21"/>
        </w:rPr>
        <w:t>as Used in Cosmetics</w:t>
      </w:r>
      <w:r>
        <w:rPr>
          <w:rFonts w:hint="eastAsia" w:ascii="Times New Roman" w:hAnsi="Times New Roman" w:eastAsia="宋体" w:cstheme="minorBidi"/>
          <w:sz w:val="21"/>
        </w:rPr>
        <w:t xml:space="preserve">. </w:t>
      </w:r>
      <w:r>
        <w:rPr>
          <w:rFonts w:ascii="Times New Roman" w:hAnsi="Times New Roman" w:eastAsia="宋体" w:cstheme="minorBidi"/>
          <w:sz w:val="21"/>
        </w:rPr>
        <w:t>Final report 201</w:t>
      </w:r>
      <w:r>
        <w:rPr>
          <w:rFonts w:hint="eastAsia" w:ascii="Times New Roman" w:hAnsi="Times New Roman" w:eastAsia="宋体" w:cstheme="minorBidi"/>
          <w:sz w:val="21"/>
        </w:rPr>
        <w:t>9</w:t>
      </w:r>
      <w:r>
        <w:rPr>
          <w:rFonts w:ascii="Times New Roman" w:hAnsi="Times New Roman" w:eastAsia="宋体" w:cstheme="minorBidi"/>
          <w:sz w:val="21"/>
        </w:rPr>
        <w:t xml:space="preserve"> available from CIR</w:t>
      </w:r>
    </w:p>
    <w:p>
      <w:pPr>
        <w:spacing w:before="240" w:beforeLines="100" w:after="120" w:afterLines="50" w:line="240" w:lineRule="auto"/>
        <w:ind w:firstLine="480"/>
        <w:rPr>
          <w:rFonts w:eastAsia="黑体" w:cstheme="minorBidi"/>
          <w:sz w:val="24"/>
        </w:rPr>
      </w:pPr>
      <w:r>
        <w:rPr>
          <w:rFonts w:hint="eastAsia" w:eastAsia="黑体" w:cstheme="minorBidi"/>
          <w:sz w:val="24"/>
        </w:rPr>
        <w:t>九、附录</w:t>
      </w:r>
    </w:p>
    <w:p>
      <w:pPr>
        <w:ind w:firstLine="420"/>
        <w:rPr>
          <w:rFonts w:ascii="Times New Roman" w:hAnsi="Times New Roman" w:eastAsia="宋体" w:cstheme="minorBidi"/>
          <w:sz w:val="21"/>
        </w:rPr>
      </w:pPr>
      <w:r>
        <w:rPr>
          <w:rFonts w:ascii="Times New Roman" w:hAnsi="Times New Roman" w:eastAsia="宋体" w:cstheme="minorBidi"/>
          <w:sz w:val="21"/>
        </w:rPr>
        <w:t>1</w:t>
      </w:r>
      <w:r>
        <w:rPr>
          <w:rFonts w:hint="eastAsia" w:ascii="Times New Roman" w:hAnsi="Times New Roman" w:eastAsia="宋体" w:cstheme="minorBidi"/>
          <w:sz w:val="21"/>
        </w:rPr>
        <w:t>、原料供应商提供的1,3-丙二醇、花生醇、氯化镁毒理学检测报告</w:t>
      </w:r>
    </w:p>
    <w:p>
      <w:pPr>
        <w:ind w:firstLine="420"/>
        <w:rPr>
          <w:rFonts w:ascii="Times New Roman" w:hAnsi="Times New Roman" w:eastAsia="宋体" w:cstheme="minorBidi"/>
          <w:sz w:val="21"/>
        </w:rPr>
      </w:pPr>
      <w:r>
        <w:rPr>
          <w:rFonts w:ascii="Times New Roman" w:hAnsi="Times New Roman" w:eastAsia="宋体" w:cstheme="minorBidi"/>
          <w:sz w:val="21"/>
        </w:rPr>
        <w:t>2</w:t>
      </w:r>
      <w:r>
        <w:rPr>
          <w:rFonts w:hint="eastAsia" w:ascii="Times New Roman" w:hAnsi="Times New Roman" w:eastAsia="宋体" w:cstheme="minorBidi"/>
          <w:sz w:val="21"/>
        </w:rPr>
        <w:t>、使用异鲸蜡醇的备案号为***的面霜资料</w:t>
      </w:r>
    </w:p>
    <w:p>
      <w:pPr>
        <w:ind w:firstLine="420"/>
        <w:rPr>
          <w:rFonts w:ascii="Times New Roman" w:hAnsi="Times New Roman" w:eastAsia="宋体" w:cstheme="minorBidi"/>
          <w:sz w:val="21"/>
        </w:rPr>
      </w:pPr>
      <w:r>
        <w:rPr>
          <w:rFonts w:ascii="Times New Roman" w:hAnsi="Times New Roman" w:eastAsia="宋体" w:cstheme="minorBidi"/>
          <w:sz w:val="21"/>
        </w:rPr>
        <w:t>3</w:t>
      </w:r>
      <w:r>
        <w:rPr>
          <w:rFonts w:hint="eastAsia" w:ascii="Times New Roman" w:hAnsi="Times New Roman" w:eastAsia="宋体" w:cstheme="minorBidi"/>
          <w:sz w:val="21"/>
        </w:rPr>
        <w:t>、产品中二甘醇、苯酚检测报告</w:t>
      </w:r>
    </w:p>
    <w:p>
      <w:pPr>
        <w:ind w:firstLine="420"/>
        <w:rPr>
          <w:rFonts w:ascii="Times New Roman" w:hAnsi="Times New Roman" w:eastAsia="宋体" w:cstheme="minorBidi"/>
          <w:sz w:val="21"/>
        </w:rPr>
      </w:pPr>
      <w:r>
        <w:rPr>
          <w:rFonts w:hint="eastAsia" w:ascii="Times New Roman" w:hAnsi="Times New Roman" w:eastAsia="宋体" w:cstheme="minorBidi"/>
          <w:sz w:val="21"/>
        </w:rPr>
        <w:t>4、香精的</w:t>
      </w:r>
      <w:r>
        <w:rPr>
          <w:rFonts w:ascii="Times New Roman" w:hAnsi="Times New Roman" w:eastAsia="宋体" w:cstheme="minorBidi"/>
          <w:sz w:val="21"/>
        </w:rPr>
        <w:t>IFRA</w:t>
      </w:r>
      <w:r>
        <w:rPr>
          <w:rFonts w:hint="eastAsia" w:ascii="Times New Roman" w:hAnsi="Times New Roman" w:eastAsia="宋体" w:cstheme="minorBidi"/>
          <w:sz w:val="21"/>
        </w:rPr>
        <w:t>证书</w:t>
      </w:r>
    </w:p>
    <w:p>
      <w:pPr>
        <w:ind w:firstLine="420"/>
        <w:rPr>
          <w:rFonts w:ascii="Times New Roman" w:hAnsi="Times New Roman" w:eastAsia="宋体" w:cstheme="minorBidi"/>
          <w:sz w:val="21"/>
        </w:rPr>
      </w:pPr>
      <w:r>
        <w:rPr>
          <w:rFonts w:hint="eastAsia" w:ascii="Times New Roman" w:hAnsi="Times New Roman" w:eastAsia="宋体" w:cstheme="minorBidi"/>
          <w:sz w:val="21"/>
        </w:rPr>
        <w:t>5、防腐剂挑战报告</w:t>
      </w:r>
    </w:p>
    <w:p>
      <w:pPr>
        <w:ind w:firstLine="420"/>
        <w:rPr>
          <w:rFonts w:ascii="Times New Roman" w:hAnsi="Times New Roman" w:eastAsia="宋体" w:cstheme="minorBidi"/>
          <w:sz w:val="21"/>
        </w:rPr>
      </w:pPr>
      <w:r>
        <w:rPr>
          <w:rFonts w:hint="eastAsia" w:ascii="Times New Roman" w:hAnsi="Times New Roman" w:eastAsia="宋体" w:cstheme="minorBidi"/>
          <w:sz w:val="21"/>
        </w:rPr>
        <w:t>6、微生物检测报告</w:t>
      </w:r>
    </w:p>
    <w:p>
      <w:pPr>
        <w:ind w:firstLine="420"/>
        <w:rPr>
          <w:rFonts w:ascii="Times New Roman" w:hAnsi="Times New Roman" w:eastAsia="宋体" w:cstheme="minorBidi"/>
          <w:sz w:val="21"/>
        </w:rPr>
      </w:pPr>
      <w:r>
        <w:rPr>
          <w:rFonts w:hint="eastAsia" w:ascii="Times New Roman" w:hAnsi="Times New Roman" w:eastAsia="宋体" w:cstheme="minorBidi"/>
          <w:sz w:val="21"/>
        </w:rPr>
        <w:t>7、有害物质检测报告</w:t>
      </w:r>
    </w:p>
    <w:p>
      <w:pPr>
        <w:ind w:firstLine="420"/>
        <w:rPr>
          <w:rFonts w:ascii="Times New Roman" w:hAnsi="Times New Roman" w:eastAsia="宋体" w:cstheme="minorBidi"/>
          <w:sz w:val="21"/>
        </w:rPr>
      </w:pPr>
      <w:r>
        <w:rPr>
          <w:rFonts w:hint="eastAsia" w:ascii="Times New Roman" w:hAnsi="Times New Roman" w:eastAsia="宋体" w:cstheme="minorBidi"/>
          <w:sz w:val="21"/>
        </w:rPr>
        <w:t>8、理化特性、稳定性检测报告</w:t>
      </w:r>
    </w:p>
    <w:p>
      <w:pPr>
        <w:ind w:firstLine="420"/>
        <w:rPr>
          <w:rFonts w:ascii="Times New Roman" w:hAnsi="Times New Roman" w:eastAsia="宋体" w:cstheme="minorBidi"/>
          <w:sz w:val="21"/>
        </w:rPr>
      </w:pPr>
      <w:r>
        <w:rPr>
          <w:rFonts w:hint="eastAsia" w:ascii="Times New Roman" w:hAnsi="Times New Roman" w:eastAsia="宋体" w:cstheme="minorBidi"/>
          <w:sz w:val="21"/>
        </w:rPr>
        <w:t>9、包装材料相容性检测报告</w:t>
      </w:r>
    </w:p>
    <w:p>
      <w:pPr>
        <w:widowControl/>
        <w:spacing w:line="240" w:lineRule="auto"/>
        <w:ind w:firstLine="0" w:firstLineChars="0"/>
        <w:jc w:val="left"/>
        <w:rPr>
          <w:rFonts w:ascii="Times New Roman" w:hAnsi="Times New Roman" w:eastAsia="宋体" w:cstheme="minorBidi"/>
          <w:sz w:val="21"/>
        </w:rPr>
      </w:pPr>
      <w:r>
        <w:rPr>
          <w:rFonts w:ascii="Times New Roman" w:hAnsi="Times New Roman" w:eastAsia="宋体" w:cstheme="minorBidi"/>
          <w:sz w:val="21"/>
        </w:rPr>
        <w:br w:type="page"/>
      </w:r>
    </w:p>
    <w:sdt>
      <w:sdtPr>
        <w:rPr>
          <w:rFonts w:ascii="Calibri" w:hAnsi="Calibri" w:cs="Calibri"/>
          <w:caps/>
        </w:rPr>
        <w:id w:val="9544423"/>
      </w:sdtPr>
      <w:sdtEndPr>
        <w:rPr>
          <w:rFonts w:ascii="Calibri" w:hAnsi="Calibri" w:cs="Calibri"/>
          <w:caps w:val="0"/>
        </w:rPr>
      </w:sdtEndPr>
      <w:sdtContent>
        <w:p>
          <w:pPr>
            <w:ind w:firstLine="0" w:firstLineChars="0"/>
            <w:rPr>
              <w:rFonts w:ascii="黑体" w:hAnsi="黑体" w:eastAsia="黑体" w:cs="黑体"/>
              <w:sz w:val="32"/>
              <w:szCs w:val="32"/>
            </w:rPr>
          </w:pPr>
          <w:r>
            <w:rPr>
              <w:rFonts w:hint="eastAsia" w:ascii="黑体" w:hAnsi="黑体" w:eastAsia="黑体" w:cs="黑体"/>
              <w:sz w:val="32"/>
              <w:szCs w:val="32"/>
            </w:rPr>
            <w:t>示例2</w:t>
          </w:r>
        </w:p>
        <w:p>
          <w:pPr>
            <w:spacing w:before="120" w:after="120"/>
            <w:ind w:firstLine="560"/>
            <w:rPr>
              <w:rFonts w:cs="Arial"/>
            </w:rPr>
          </w:pPr>
        </w:p>
        <w:p>
          <w:pPr>
            <w:spacing w:before="120" w:after="120"/>
            <w:ind w:firstLine="560"/>
            <w:rPr>
              <w:rFonts w:cs="Arial"/>
            </w:rPr>
          </w:pPr>
        </w:p>
        <w:p>
          <w:pPr>
            <w:spacing w:before="120" w:after="120"/>
            <w:ind w:firstLine="560"/>
            <w:rPr>
              <w:rFonts w:cs="Arial"/>
            </w:rPr>
          </w:pPr>
        </w:p>
        <w:sdt>
          <w:sdtPr>
            <w:rPr>
              <w:rFonts w:ascii="黑体" w:hAnsi="黑体" w:eastAsia="黑体" w:cs="Arial"/>
              <w:b/>
              <w:sz w:val="56"/>
              <w:szCs w:val="56"/>
            </w:rPr>
            <w:alias w:val="Title"/>
            <w:id w:val="419375775"/>
            <w:text/>
          </w:sdtPr>
          <w:sdtEndPr>
            <w:rPr>
              <w:rStyle w:val="68"/>
              <w:rFonts w:eastAsia="方正小标宋简体" w:cs="Arial" w:asciiTheme="majorHAnsi" w:hAnsiTheme="majorHAnsi"/>
              <w:b/>
              <w:color w:val="17375E" w:themeColor="text2" w:themeShade="BF"/>
              <w:spacing w:val="5"/>
              <w:kern w:val="28"/>
              <w:sz w:val="56"/>
              <w:szCs w:val="56"/>
            </w:rPr>
          </w:sdtEndPr>
          <w:sdtContent>
            <w:p>
              <w:pPr>
                <w:spacing w:before="120" w:after="120"/>
                <w:ind w:firstLine="0" w:firstLineChars="0"/>
                <w:jc w:val="center"/>
                <w:rPr>
                  <w:rStyle w:val="68"/>
                </w:rPr>
              </w:pPr>
              <w:r>
                <w:rPr>
                  <w:rStyle w:val="68"/>
                  <w:rFonts w:hint="eastAsia"/>
                </w:rPr>
                <w:t>***身体乳安全评估报告</w:t>
              </w:r>
            </w:p>
          </w:sdtContent>
        </w:sdt>
        <w:p>
          <w:pPr>
            <w:spacing w:before="120" w:after="120"/>
            <w:ind w:firstLine="560"/>
            <w:jc w:val="right"/>
            <w:rPr>
              <w:rFonts w:cs="Arial"/>
            </w:rPr>
          </w:pPr>
          <w:r>
            <w:rPr>
              <w:rFonts w:hint="eastAsia" w:cs="Arial"/>
            </w:rPr>
            <w:t xml:space="preserve">                                                                                                                  </w:t>
          </w:r>
          <w:r>
            <w:rPr>
              <w:rFonts w:hint="eastAsia" w:ascii="宋体" w:hAnsi="宋体" w:cs="宋体"/>
              <w:szCs w:val="21"/>
            </w:rPr>
            <w:t>注：本报告格式及数据仅供参考</w:t>
          </w:r>
        </w:p>
        <w:p>
          <w:pPr>
            <w:spacing w:before="120" w:after="120"/>
            <w:ind w:firstLine="560"/>
            <w:rPr>
              <w:rFonts w:cs="Arial"/>
            </w:rPr>
          </w:pPr>
        </w:p>
        <w:p>
          <w:pPr>
            <w:spacing w:before="120" w:after="120"/>
            <w:ind w:firstLine="560"/>
            <w:rPr>
              <w:rFonts w:cs="Arial"/>
            </w:rPr>
          </w:pPr>
        </w:p>
        <w:p>
          <w:pPr>
            <w:spacing w:before="120" w:after="120"/>
            <w:ind w:firstLine="560"/>
            <w:rPr>
              <w:rFonts w:cs="Arial"/>
            </w:rPr>
          </w:pPr>
        </w:p>
        <w:p>
          <w:pPr>
            <w:spacing w:before="120" w:after="120" w:line="360" w:lineRule="auto"/>
            <w:ind w:firstLine="0" w:firstLineChars="0"/>
            <w:jc w:val="center"/>
            <w:rPr>
              <w:szCs w:val="28"/>
              <w:u w:val="single"/>
            </w:rPr>
          </w:pPr>
          <w:r>
            <w:rPr>
              <w:szCs w:val="28"/>
            </w:rPr>
            <w:t>公司名称：</w:t>
          </w:r>
          <w:r>
            <w:rPr>
              <w:szCs w:val="28"/>
              <w:u w:val="single"/>
            </w:rPr>
            <w:t>******************</w:t>
          </w:r>
        </w:p>
        <w:p>
          <w:pPr>
            <w:spacing w:before="120" w:after="120" w:line="360" w:lineRule="auto"/>
            <w:ind w:firstLine="0" w:firstLineChars="0"/>
            <w:jc w:val="center"/>
            <w:rPr>
              <w:szCs w:val="28"/>
              <w:u w:val="single"/>
            </w:rPr>
          </w:pPr>
          <w:r>
            <w:rPr>
              <w:szCs w:val="28"/>
            </w:rPr>
            <w:t>公司地址：</w:t>
          </w:r>
          <w:r>
            <w:rPr>
              <w:szCs w:val="28"/>
              <w:u w:val="single"/>
            </w:rPr>
            <w:t>******************</w:t>
          </w:r>
        </w:p>
        <w:p>
          <w:pPr>
            <w:spacing w:before="120" w:after="120" w:line="360" w:lineRule="auto"/>
            <w:ind w:firstLine="0" w:firstLineChars="0"/>
            <w:jc w:val="center"/>
            <w:rPr>
              <w:szCs w:val="28"/>
              <w:u w:val="single"/>
            </w:rPr>
          </w:pPr>
          <w:r>
            <w:rPr>
              <w:szCs w:val="28"/>
            </w:rPr>
            <w:t>评估单位：</w:t>
          </w:r>
          <w:r>
            <w:rPr>
              <w:szCs w:val="28"/>
              <w:u w:val="single"/>
            </w:rPr>
            <w:t>******************</w:t>
          </w:r>
        </w:p>
        <w:p>
          <w:pPr>
            <w:spacing w:before="120" w:after="120" w:line="360" w:lineRule="auto"/>
            <w:ind w:firstLine="0" w:firstLineChars="0"/>
            <w:jc w:val="center"/>
            <w:rPr>
              <w:szCs w:val="28"/>
              <w:u w:val="single"/>
            </w:rPr>
          </w:pPr>
          <w:r>
            <w:rPr>
              <w:szCs w:val="28"/>
            </w:rPr>
            <w:t>评估人：</w:t>
          </w:r>
          <w:r>
            <w:rPr>
              <w:szCs w:val="28"/>
              <w:u w:val="single"/>
            </w:rPr>
            <w:t>******************</w:t>
          </w:r>
        </w:p>
        <w:p>
          <w:pPr>
            <w:spacing w:before="120" w:after="120" w:line="360" w:lineRule="auto"/>
            <w:ind w:firstLine="0" w:firstLineChars="0"/>
            <w:jc w:val="center"/>
            <w:rPr>
              <w:szCs w:val="28"/>
              <w:u w:val="single"/>
            </w:rPr>
          </w:pPr>
          <w:r>
            <w:rPr>
              <w:szCs w:val="28"/>
            </w:rPr>
            <w:t>评估日期：</w:t>
          </w:r>
          <w:r>
            <w:rPr>
              <w:szCs w:val="28"/>
              <w:u w:val="single"/>
            </w:rPr>
            <w:t>******************</w:t>
          </w:r>
        </w:p>
        <w:p>
          <w:pPr>
            <w:spacing w:before="120" w:after="120"/>
            <w:ind w:firstLine="560"/>
            <w:rPr>
              <w:rFonts w:ascii="Calibri" w:hAnsi="Calibri" w:cs="Calibri"/>
            </w:rPr>
          </w:pPr>
          <w:r>
            <w:rPr>
              <w:rFonts w:cs="Arial"/>
            </w:rPr>
            <w:br w:type="page"/>
          </w:r>
        </w:p>
      </w:sdtContent>
    </w:sdt>
    <w:sdt>
      <w:sdtPr>
        <w:rPr>
          <w:rFonts w:hint="eastAsia" w:ascii="黑体" w:hAnsi="黑体" w:eastAsia="黑体" w:cs="黑体"/>
          <w:szCs w:val="28"/>
        </w:rPr>
        <w:id w:val="147453170"/>
        <w:docPartObj>
          <w:docPartGallery w:val="Table of Contents"/>
          <w:docPartUnique/>
        </w:docPartObj>
      </w:sdtPr>
      <w:sdtEndPr>
        <w:rPr>
          <w:rFonts w:hint="default" w:ascii="仿宋_GB2312" w:hAnsi="仿宋_GB2312" w:eastAsia="仿宋_GB2312" w:cs="Times New Roman"/>
          <w:szCs w:val="21"/>
        </w:rPr>
      </w:sdtEndPr>
      <w:sdtContent>
        <w:p>
          <w:pPr>
            <w:spacing w:line="240" w:lineRule="auto"/>
            <w:ind w:firstLine="0" w:firstLineChars="0"/>
            <w:jc w:val="center"/>
            <w:rPr>
              <w:rFonts w:ascii="黑体" w:hAnsi="黑体" w:eastAsia="黑体" w:cs="黑体"/>
              <w:szCs w:val="28"/>
            </w:rPr>
          </w:pPr>
          <w:r>
            <w:rPr>
              <w:rFonts w:hint="eastAsia" w:ascii="黑体" w:hAnsi="黑体" w:eastAsia="黑体" w:cs="黑体"/>
              <w:szCs w:val="28"/>
            </w:rPr>
            <w:t>目录</w:t>
          </w:r>
        </w:p>
        <w:p>
          <w:pPr>
            <w:spacing w:line="240" w:lineRule="auto"/>
            <w:ind w:firstLine="0" w:firstLineChars="0"/>
            <w:jc w:val="center"/>
            <w:rPr>
              <w:rFonts w:ascii="宋体" w:hAnsi="宋体"/>
            </w:rPr>
          </w:pPr>
        </w:p>
        <w:p>
          <w:pPr>
            <w:pStyle w:val="71"/>
            <w:tabs>
              <w:tab w:val="right" w:leader="dot" w:pos="9360"/>
            </w:tabs>
            <w:spacing w:line="480" w:lineRule="auto"/>
            <w:rPr>
              <w:rFonts w:ascii="Times New Roman" w:hAnsi="Times New Roman" w:eastAsia="宋体" w:cs="Times New Roman"/>
              <w:b/>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TOC \o "1-1" \h \u </w:instrText>
          </w:r>
          <w:r>
            <w:rPr>
              <w:rFonts w:ascii="Times New Roman" w:hAnsi="Times New Roman" w:eastAsia="宋体" w:cs="Times New Roman"/>
              <w:sz w:val="21"/>
              <w:szCs w:val="21"/>
            </w:rPr>
            <w:fldChar w:fldCharType="separate"/>
          </w:r>
          <w:r>
            <w:fldChar w:fldCharType="begin"/>
          </w:r>
          <w:r>
            <w:instrText xml:space="preserve"> HYPERLINK \l "_Toc16405" </w:instrText>
          </w:r>
          <w:r>
            <w:fldChar w:fldCharType="separate"/>
          </w:r>
          <w:r>
            <w:rPr>
              <w:rFonts w:ascii="Times New Roman" w:hAnsi="Times New Roman" w:eastAsia="宋体" w:cs="Times New Roman"/>
              <w:b/>
              <w:sz w:val="21"/>
              <w:szCs w:val="21"/>
            </w:rPr>
            <w:t>一、摘要</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_Toc16405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50</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"_Toc24905" </w:instrText>
          </w:r>
          <w:r>
            <w:fldChar w:fldCharType="separate"/>
          </w:r>
          <w:r>
            <w:rPr>
              <w:rFonts w:ascii="Times New Roman" w:hAnsi="Times New Roman" w:eastAsia="宋体" w:cs="Times New Roman"/>
              <w:b/>
              <w:sz w:val="21"/>
              <w:szCs w:val="21"/>
            </w:rPr>
            <w:t>二、产品简介</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_Toc24905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50</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"_Toc2528" </w:instrText>
          </w:r>
          <w:r>
            <w:fldChar w:fldCharType="separate"/>
          </w:r>
          <w:r>
            <w:rPr>
              <w:rFonts w:ascii="Times New Roman" w:hAnsi="Times New Roman" w:eastAsia="宋体" w:cs="Times New Roman"/>
              <w:b/>
              <w:sz w:val="21"/>
              <w:szCs w:val="21"/>
            </w:rPr>
            <w:t>三、产品配方</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_Toc2528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50</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"_Toc18549" </w:instrText>
          </w:r>
          <w:r>
            <w:fldChar w:fldCharType="separate"/>
          </w:r>
          <w:r>
            <w:rPr>
              <w:rFonts w:ascii="Times New Roman" w:hAnsi="Times New Roman" w:eastAsia="宋体" w:cs="Times New Roman"/>
              <w:b/>
              <w:sz w:val="21"/>
              <w:szCs w:val="21"/>
            </w:rPr>
            <w:t>四、配方中各成分安全评估</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_Toc18549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51</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"_Toc3290" </w:instrText>
          </w:r>
          <w:r>
            <w:fldChar w:fldCharType="separate"/>
          </w:r>
          <w:r>
            <w:rPr>
              <w:rFonts w:ascii="Times New Roman" w:hAnsi="Times New Roman" w:eastAsia="宋体" w:cs="Times New Roman"/>
              <w:b/>
              <w:sz w:val="21"/>
              <w:szCs w:val="21"/>
            </w:rPr>
            <w:t>五、可能存在的风险物质</w:t>
          </w:r>
          <w:r>
            <w:rPr>
              <w:rFonts w:hint="eastAsia" w:ascii="Times New Roman" w:hAnsi="Times New Roman" w:eastAsia="宋体" w:cs="Times New Roman"/>
              <w:b/>
              <w:sz w:val="21"/>
              <w:szCs w:val="21"/>
            </w:rPr>
            <w:t>的安全</w:t>
          </w:r>
          <w:r>
            <w:rPr>
              <w:rFonts w:ascii="Times New Roman" w:hAnsi="Times New Roman" w:eastAsia="宋体" w:cs="Times New Roman"/>
              <w:b/>
              <w:sz w:val="21"/>
              <w:szCs w:val="21"/>
            </w:rPr>
            <w:t>评估</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_Toc3290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52</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"_Toc936" </w:instrText>
          </w:r>
          <w:r>
            <w:fldChar w:fldCharType="separate"/>
          </w:r>
          <w:r>
            <w:rPr>
              <w:rFonts w:ascii="Times New Roman" w:hAnsi="Times New Roman" w:eastAsia="宋体" w:cs="Times New Roman"/>
              <w:b/>
              <w:sz w:val="21"/>
              <w:szCs w:val="21"/>
            </w:rPr>
            <w:t>六、使用说明及警示用语</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_Toc936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54</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"_Toc17913" </w:instrText>
          </w:r>
          <w:r>
            <w:fldChar w:fldCharType="separate"/>
          </w:r>
          <w:r>
            <w:rPr>
              <w:rFonts w:ascii="Times New Roman" w:hAnsi="Times New Roman" w:eastAsia="宋体" w:cs="Times New Roman"/>
              <w:b/>
              <w:sz w:val="21"/>
              <w:szCs w:val="21"/>
            </w:rPr>
            <w:t>七、安全评估结论</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_Toc17913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54</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"_Toc29387" </w:instrText>
          </w:r>
          <w:r>
            <w:fldChar w:fldCharType="separate"/>
          </w:r>
          <w:r>
            <w:rPr>
              <w:rFonts w:ascii="Times New Roman" w:hAnsi="Times New Roman" w:eastAsia="宋体" w:cs="Times New Roman"/>
              <w:b/>
              <w:sz w:val="21"/>
              <w:szCs w:val="21"/>
            </w:rPr>
            <w:t>八、安全评估人员签名</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_Toc29387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54</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"_Toc6455" </w:instrText>
          </w:r>
          <w:r>
            <w:fldChar w:fldCharType="separate"/>
          </w:r>
          <w:r>
            <w:rPr>
              <w:rFonts w:ascii="Times New Roman" w:hAnsi="Times New Roman" w:eastAsia="宋体" w:cs="Times New Roman"/>
              <w:b/>
              <w:sz w:val="21"/>
              <w:szCs w:val="21"/>
            </w:rPr>
            <w:t>九、安全评估人员资质证明（简历）</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_Toc6455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55</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b/>
              <w:sz w:val="21"/>
              <w:szCs w:val="21"/>
            </w:rPr>
          </w:pPr>
          <w:r>
            <w:fldChar w:fldCharType="begin"/>
          </w:r>
          <w:r>
            <w:instrText xml:space="preserve"> HYPERLINK \l "_Toc18105" </w:instrText>
          </w:r>
          <w:r>
            <w:fldChar w:fldCharType="separate"/>
          </w:r>
          <w:r>
            <w:rPr>
              <w:rFonts w:ascii="Times New Roman" w:hAnsi="Times New Roman" w:eastAsia="宋体" w:cs="Times New Roman"/>
              <w:b/>
              <w:sz w:val="21"/>
              <w:szCs w:val="21"/>
            </w:rPr>
            <w:t>十、参考文献 （略）</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_Toc18105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55</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pStyle w:val="71"/>
            <w:tabs>
              <w:tab w:val="right" w:leader="dot" w:pos="9360"/>
            </w:tabs>
            <w:spacing w:line="480" w:lineRule="auto"/>
            <w:rPr>
              <w:rFonts w:ascii="Times New Roman" w:hAnsi="Times New Roman" w:eastAsia="宋体" w:cs="Times New Roman"/>
              <w:sz w:val="21"/>
              <w:szCs w:val="21"/>
            </w:rPr>
          </w:pPr>
          <w:r>
            <w:fldChar w:fldCharType="begin"/>
          </w:r>
          <w:r>
            <w:instrText xml:space="preserve"> HYPERLINK \l "_Toc9616" </w:instrText>
          </w:r>
          <w:r>
            <w:fldChar w:fldCharType="separate"/>
          </w:r>
          <w:r>
            <w:rPr>
              <w:rFonts w:ascii="Times New Roman" w:hAnsi="Times New Roman" w:eastAsia="宋体" w:cs="Times New Roman"/>
              <w:b/>
              <w:sz w:val="21"/>
              <w:szCs w:val="21"/>
            </w:rPr>
            <w:t>十一、附录</w:t>
          </w:r>
          <w:r>
            <w:rPr>
              <w:rFonts w:ascii="Times New Roman" w:hAnsi="Times New Roman" w:eastAsia="宋体" w:cs="Times New Roman"/>
              <w:b/>
              <w:sz w:val="21"/>
              <w:szCs w:val="21"/>
            </w:rPr>
            <w:tab/>
          </w:r>
          <w:r>
            <w:rPr>
              <w:rFonts w:ascii="Times New Roman" w:hAnsi="Times New Roman" w:eastAsia="宋体" w:cs="Times New Roman"/>
              <w:b/>
              <w:sz w:val="21"/>
              <w:szCs w:val="21"/>
            </w:rPr>
            <w:fldChar w:fldCharType="begin"/>
          </w:r>
          <w:r>
            <w:rPr>
              <w:rFonts w:ascii="Times New Roman" w:hAnsi="Times New Roman" w:eastAsia="宋体" w:cs="Times New Roman"/>
              <w:b/>
              <w:sz w:val="21"/>
              <w:szCs w:val="21"/>
            </w:rPr>
            <w:instrText xml:space="preserve"> PAGEREF _Toc9616 </w:instrText>
          </w:r>
          <w:r>
            <w:rPr>
              <w:rFonts w:ascii="Times New Roman" w:hAnsi="Times New Roman" w:eastAsia="宋体" w:cs="Times New Roman"/>
              <w:b/>
              <w:sz w:val="21"/>
              <w:szCs w:val="21"/>
            </w:rPr>
            <w:fldChar w:fldCharType="separate"/>
          </w:r>
          <w:r>
            <w:rPr>
              <w:rFonts w:ascii="Times New Roman" w:hAnsi="Times New Roman" w:eastAsia="宋体" w:cs="Times New Roman"/>
              <w:b/>
              <w:sz w:val="21"/>
              <w:szCs w:val="21"/>
            </w:rPr>
            <w:t>55</w:t>
          </w:r>
          <w:r>
            <w:rPr>
              <w:rFonts w:ascii="Times New Roman" w:hAnsi="Times New Roman" w:eastAsia="宋体" w:cs="Times New Roman"/>
              <w:b/>
              <w:sz w:val="21"/>
              <w:szCs w:val="21"/>
            </w:rPr>
            <w:fldChar w:fldCharType="end"/>
          </w:r>
          <w:r>
            <w:rPr>
              <w:rFonts w:ascii="Times New Roman" w:hAnsi="Times New Roman" w:eastAsia="宋体" w:cs="Times New Roman"/>
              <w:b/>
              <w:sz w:val="21"/>
              <w:szCs w:val="21"/>
            </w:rPr>
            <w:fldChar w:fldCharType="end"/>
          </w:r>
        </w:p>
        <w:p>
          <w:pPr>
            <w:spacing w:after="120" w:line="480" w:lineRule="auto"/>
            <w:ind w:firstLine="560"/>
            <w:rPr>
              <w:szCs w:val="21"/>
            </w:rPr>
          </w:pPr>
          <w:r>
            <w:rPr>
              <w:szCs w:val="21"/>
            </w:rPr>
            <w:fldChar w:fldCharType="end"/>
          </w:r>
        </w:p>
      </w:sdtContent>
    </w:sdt>
    <w:p>
      <w:pPr>
        <w:spacing w:before="120" w:after="120" w:line="240" w:lineRule="auto"/>
        <w:ind w:firstLine="560"/>
      </w:pPr>
      <w:r>
        <w:br w:type="page"/>
      </w:r>
      <w:bookmarkStart w:id="19" w:name="_Toc16405"/>
      <w:r>
        <w:rPr>
          <w:rFonts w:hint="eastAsia" w:ascii="黑体" w:hAnsi="黑体" w:eastAsia="黑体"/>
          <w:szCs w:val="28"/>
        </w:rPr>
        <w:t>一、摘要</w:t>
      </w:r>
      <w:bookmarkEnd w:id="19"/>
    </w:p>
    <w:p>
      <w:pPr>
        <w:spacing w:after="120"/>
        <w:ind w:firstLine="420"/>
        <w:rPr>
          <w:rFonts w:ascii="Times New Roman" w:hAnsi="Times New Roman" w:eastAsia="宋体"/>
          <w:sz w:val="21"/>
          <w:szCs w:val="21"/>
        </w:rPr>
      </w:pPr>
      <w:r>
        <w:rPr>
          <w:rFonts w:hint="eastAsia" w:ascii="Times New Roman" w:hAnsi="Times New Roman" w:eastAsia="宋体"/>
          <w:sz w:val="21"/>
          <w:szCs w:val="21"/>
        </w:rPr>
        <w:t>****身体乳为驻留类产品，适用于全身，可每日使用，参考《化妆品安全评估技术导则》有关规定，对产品的微生物、有害物质和稳定性等进行了检测，并对配方所用的水、香精、1,3-丙二醇、苯氧乙醇、墨角藻（FUCUS VESICULOSUS）提取物、蜂蜜、花生醇和氯化镁8种原料，可能存</w:t>
      </w:r>
      <w:bookmarkStart w:id="34" w:name="_GoBack"/>
      <w:bookmarkEnd w:id="34"/>
      <w:r>
        <w:rPr>
          <w:rFonts w:hint="eastAsia" w:ascii="Times New Roman" w:hAnsi="Times New Roman" w:eastAsia="宋体"/>
          <w:sz w:val="21"/>
          <w:szCs w:val="21"/>
        </w:rPr>
        <w:t>在的二甘醇、苯酚等风险物质开展了安全评估。结果显示，该产品在正常、合理及可预见的使用情况下，风险在可接受的范围之内，不会对人体健康产生危害。</w:t>
      </w:r>
    </w:p>
    <w:p>
      <w:pPr>
        <w:spacing w:before="120" w:after="120" w:line="240" w:lineRule="auto"/>
        <w:ind w:firstLine="560"/>
        <w:rPr>
          <w:rFonts w:ascii="黑体" w:hAnsi="黑体" w:eastAsia="黑体"/>
          <w:szCs w:val="28"/>
        </w:rPr>
      </w:pPr>
      <w:bookmarkStart w:id="20" w:name="_Toc24905"/>
      <w:r>
        <w:rPr>
          <w:rFonts w:hint="eastAsia" w:ascii="黑体" w:hAnsi="黑体" w:eastAsia="黑体"/>
          <w:szCs w:val="28"/>
        </w:rPr>
        <w:t>二、</w:t>
      </w:r>
      <w:r>
        <w:rPr>
          <w:rFonts w:ascii="黑体" w:hAnsi="黑体" w:eastAsia="黑体"/>
          <w:szCs w:val="28"/>
        </w:rPr>
        <w:t>产品简介</w:t>
      </w:r>
      <w:bookmarkEnd w:id="20"/>
    </w:p>
    <w:tbl>
      <w:tblPr>
        <w:tblStyle w:val="29"/>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5"/>
        <w:gridCol w:w="6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3245" w:type="dxa"/>
            <w:vAlign w:val="center"/>
          </w:tcPr>
          <w:p>
            <w:pPr>
              <w:pStyle w:val="69"/>
              <w:spacing w:after="120"/>
              <w:jc w:val="both"/>
              <w:rPr>
                <w:szCs w:val="21"/>
              </w:rPr>
            </w:pPr>
            <w:r>
              <w:rPr>
                <w:szCs w:val="21"/>
              </w:rPr>
              <w:t>1、产品名称：</w:t>
            </w:r>
          </w:p>
        </w:tc>
        <w:tc>
          <w:tcPr>
            <w:tcW w:w="6294" w:type="dxa"/>
            <w:shd w:val="clear" w:color="auto" w:fill="auto"/>
            <w:vAlign w:val="center"/>
          </w:tcPr>
          <w:p>
            <w:pPr>
              <w:pStyle w:val="69"/>
              <w:spacing w:after="120"/>
              <w:jc w:val="both"/>
              <w:rPr>
                <w:szCs w:val="21"/>
              </w:rPr>
            </w:pPr>
            <w:r>
              <w:rPr>
                <w:szCs w:val="21"/>
              </w:rPr>
              <w:t>***身体乳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3245" w:type="dxa"/>
            <w:vAlign w:val="center"/>
          </w:tcPr>
          <w:p>
            <w:pPr>
              <w:pStyle w:val="69"/>
              <w:spacing w:after="120"/>
              <w:jc w:val="both"/>
              <w:rPr>
                <w:szCs w:val="21"/>
              </w:rPr>
            </w:pPr>
            <w:r>
              <w:rPr>
                <w:szCs w:val="21"/>
              </w:rPr>
              <w:t>2、产品使用目的及使用方式：</w:t>
            </w:r>
          </w:p>
        </w:tc>
        <w:tc>
          <w:tcPr>
            <w:tcW w:w="6294" w:type="dxa"/>
            <w:shd w:val="clear" w:color="auto" w:fill="auto"/>
            <w:vAlign w:val="center"/>
          </w:tcPr>
          <w:p>
            <w:pPr>
              <w:pStyle w:val="69"/>
              <w:spacing w:after="120"/>
              <w:jc w:val="both"/>
              <w:rPr>
                <w:szCs w:val="21"/>
              </w:rPr>
            </w:pPr>
            <w:r>
              <w:rPr>
                <w:szCs w:val="21"/>
              </w:rPr>
              <w:t>本产品可涂抹于全身，以达到保湿作用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3245" w:type="dxa"/>
            <w:vAlign w:val="center"/>
          </w:tcPr>
          <w:p>
            <w:pPr>
              <w:pStyle w:val="69"/>
              <w:spacing w:after="120"/>
              <w:jc w:val="both"/>
              <w:rPr>
                <w:szCs w:val="21"/>
              </w:rPr>
            </w:pPr>
            <w:r>
              <w:rPr>
                <w:szCs w:val="21"/>
              </w:rPr>
              <w:t>3、日均使用量 （g/day）：</w:t>
            </w:r>
          </w:p>
        </w:tc>
        <w:tc>
          <w:tcPr>
            <w:tcW w:w="6294" w:type="dxa"/>
            <w:shd w:val="clear" w:color="auto" w:fill="auto"/>
            <w:vAlign w:val="center"/>
          </w:tcPr>
          <w:p>
            <w:pPr>
              <w:pStyle w:val="69"/>
              <w:spacing w:after="120"/>
              <w:jc w:val="both"/>
              <w:rPr>
                <w:szCs w:val="21"/>
              </w:rPr>
            </w:pPr>
            <w:r>
              <w:rPr>
                <w:szCs w:val="21"/>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3245" w:type="dxa"/>
            <w:vAlign w:val="center"/>
          </w:tcPr>
          <w:p>
            <w:pPr>
              <w:pStyle w:val="69"/>
              <w:spacing w:after="120"/>
              <w:jc w:val="both"/>
              <w:rPr>
                <w:szCs w:val="21"/>
              </w:rPr>
            </w:pPr>
            <w:r>
              <w:rPr>
                <w:szCs w:val="21"/>
              </w:rPr>
              <w:t>4、产品驻留因子：</w:t>
            </w:r>
          </w:p>
        </w:tc>
        <w:tc>
          <w:tcPr>
            <w:tcW w:w="6294" w:type="dxa"/>
            <w:shd w:val="clear" w:color="auto" w:fill="auto"/>
            <w:vAlign w:val="center"/>
          </w:tcPr>
          <w:p>
            <w:pPr>
              <w:pStyle w:val="69"/>
              <w:spacing w:after="120"/>
              <w:jc w:val="both"/>
              <w:rPr>
                <w:szCs w:val="21"/>
              </w:rPr>
            </w:pPr>
            <w:r>
              <w:rPr>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3245" w:type="dxa"/>
            <w:vAlign w:val="center"/>
          </w:tcPr>
          <w:p>
            <w:pPr>
              <w:pStyle w:val="69"/>
              <w:spacing w:after="120"/>
              <w:jc w:val="both"/>
              <w:rPr>
                <w:szCs w:val="21"/>
              </w:rPr>
            </w:pPr>
            <w:r>
              <w:rPr>
                <w:szCs w:val="21"/>
              </w:rPr>
              <w:t>5、暴露剂量（SED）：</w:t>
            </w:r>
          </w:p>
        </w:tc>
        <w:tc>
          <w:tcPr>
            <w:tcW w:w="6294" w:type="dxa"/>
            <w:shd w:val="clear" w:color="auto" w:fill="auto"/>
            <w:vAlign w:val="center"/>
          </w:tcPr>
          <w:p>
            <w:pPr>
              <w:pStyle w:val="69"/>
              <w:spacing w:after="120"/>
              <w:jc w:val="both"/>
              <w:rPr>
                <w:szCs w:val="21"/>
              </w:rPr>
            </w:pPr>
            <w:r>
              <w:rPr>
                <w:szCs w:val="21"/>
              </w:rPr>
              <w:t>SED=日均使用量×驻留因子×成分在配方中百分比÷体重#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3245" w:type="dxa"/>
          </w:tcPr>
          <w:p>
            <w:pPr>
              <w:pStyle w:val="69"/>
              <w:spacing w:after="120"/>
              <w:jc w:val="both"/>
              <w:rPr>
                <w:szCs w:val="21"/>
              </w:rPr>
            </w:pPr>
            <w:r>
              <w:rPr>
                <w:szCs w:val="21"/>
              </w:rPr>
              <w:t>6、安全边际（MoS）：</w:t>
            </w:r>
          </w:p>
        </w:tc>
        <w:tc>
          <w:tcPr>
            <w:tcW w:w="6294" w:type="dxa"/>
            <w:shd w:val="clear" w:color="auto" w:fill="auto"/>
            <w:vAlign w:val="center"/>
          </w:tcPr>
          <w:p>
            <w:pPr>
              <w:pStyle w:val="69"/>
              <w:spacing w:after="120"/>
              <w:jc w:val="both"/>
              <w:rPr>
                <w:szCs w:val="21"/>
              </w:rPr>
            </w:pPr>
            <w:r>
              <w:rPr>
                <w:szCs w:val="21"/>
              </w:rPr>
              <w:t>MoS = NOAEL/ SED</w:t>
            </w:r>
          </w:p>
        </w:tc>
      </w:tr>
    </w:tbl>
    <w:p>
      <w:pPr>
        <w:spacing w:after="120"/>
        <w:ind w:firstLine="0" w:firstLineChars="0"/>
        <w:rPr>
          <w:rFonts w:ascii="Times New Roman" w:hAnsi="Times New Roman" w:eastAsia="宋体"/>
          <w:sz w:val="21"/>
          <w:szCs w:val="21"/>
        </w:rPr>
      </w:pPr>
      <w:r>
        <w:rPr>
          <w:rFonts w:ascii="Times New Roman" w:hAnsi="Times New Roman" w:eastAsia="宋体"/>
          <w:sz w:val="21"/>
          <w:szCs w:val="21"/>
        </w:rPr>
        <w:t>注：</w:t>
      </w:r>
      <w:r>
        <w:rPr>
          <w:rFonts w:hint="eastAsia" w:ascii="Times New Roman" w:hAnsi="Times New Roman" w:eastAsia="宋体"/>
          <w:sz w:val="21"/>
          <w:szCs w:val="21"/>
        </w:rPr>
        <w:t>*：日均使用量参考《THE SCCS NOTES OF GUIDANCE FOR THE ESTING OF COSMETIC INGREDIENTS AND THEIR SAFETY EVALUATION （10TH REVISION）》， Table 2A: Daily exposure levels for different cosmetic product categories in Europe, calculated by multiplying daily amounts (Hall et al. 2007, Hall et al. 2011) and Fret。</w:t>
      </w:r>
    </w:p>
    <w:p>
      <w:pPr>
        <w:spacing w:after="120"/>
        <w:ind w:firstLine="0" w:firstLineChars="0"/>
        <w:rPr>
          <w:rFonts w:ascii="Times New Roman" w:hAnsi="Times New Roman" w:eastAsia="宋体"/>
          <w:sz w:val="21"/>
          <w:szCs w:val="21"/>
        </w:rPr>
      </w:pPr>
      <w:r>
        <w:rPr>
          <w:rFonts w:hint="eastAsia" w:ascii="Times New Roman" w:hAnsi="Times New Roman" w:eastAsia="宋体"/>
          <w:sz w:val="21"/>
          <w:szCs w:val="21"/>
        </w:rPr>
        <w:t>#：体重一般为默认的成人体重（60 kg）；经皮吸收率以100%计。</w:t>
      </w:r>
    </w:p>
    <w:p>
      <w:pPr>
        <w:spacing w:before="120" w:after="120" w:line="240" w:lineRule="auto"/>
        <w:ind w:firstLine="560"/>
        <w:rPr>
          <w:rFonts w:ascii="黑体" w:hAnsi="黑体" w:eastAsia="黑体"/>
          <w:szCs w:val="28"/>
        </w:rPr>
      </w:pPr>
      <w:bookmarkStart w:id="21" w:name="_Toc2528"/>
      <w:r>
        <w:rPr>
          <w:rFonts w:hint="eastAsia" w:ascii="黑体" w:hAnsi="黑体" w:eastAsia="黑体"/>
          <w:szCs w:val="28"/>
        </w:rPr>
        <w:t>三、产品</w:t>
      </w:r>
      <w:r>
        <w:rPr>
          <w:rFonts w:ascii="黑体" w:hAnsi="黑体" w:eastAsia="黑体"/>
          <w:szCs w:val="28"/>
        </w:rPr>
        <w:t>配方</w:t>
      </w:r>
      <w:bookmarkEnd w:id="21"/>
    </w:p>
    <w:p>
      <w:pPr>
        <w:spacing w:before="120" w:after="120" w:line="240" w:lineRule="auto"/>
        <w:ind w:firstLine="420"/>
        <w:rPr>
          <w:rFonts w:ascii="Times New Roman" w:hAnsi="Times New Roman" w:eastAsia="宋体" w:cs="Calibri"/>
          <w:b/>
          <w:sz w:val="21"/>
          <w:szCs w:val="21"/>
        </w:rPr>
      </w:pPr>
      <w:r>
        <w:rPr>
          <w:rFonts w:hint="eastAsia" w:ascii="Times New Roman" w:hAnsi="Times New Roman" w:eastAsia="宋体" w:cs="Calibri"/>
          <w:sz w:val="21"/>
          <w:szCs w:val="21"/>
        </w:rPr>
        <w:t>本配方中所使用的成分均已列入中国《已使用化妆品原料名称目录》（2015 年版）或《化妆品安全技术规范》（2015年版）</w:t>
      </w:r>
      <w:r>
        <w:rPr>
          <w:rFonts w:hint="eastAsia" w:ascii="Times New Roman" w:hAnsi="Times New Roman" w:eastAsia="宋体" w:cs="Calibri"/>
          <w:b/>
          <w:sz w:val="21"/>
          <w:szCs w:val="21"/>
        </w:rPr>
        <w:t>。</w:t>
      </w:r>
    </w:p>
    <w:p>
      <w:pPr>
        <w:pStyle w:val="70"/>
        <w:spacing w:before="120" w:after="120"/>
        <w:rPr>
          <w:rFonts w:eastAsia="宋体"/>
          <w:szCs w:val="21"/>
        </w:rPr>
      </w:pPr>
      <w:r>
        <w:rPr>
          <w:rFonts w:hint="eastAsia" w:eastAsia="宋体"/>
          <w:szCs w:val="21"/>
        </w:rPr>
        <w:t>表1 产品配方表</w:t>
      </w:r>
    </w:p>
    <w:tbl>
      <w:tblPr>
        <w:tblStyle w:val="28"/>
        <w:tblW w:w="9593" w:type="dxa"/>
        <w:jc w:val="center"/>
        <w:tblInd w:w="0" w:type="dxa"/>
        <w:tblLayout w:type="fixed"/>
        <w:tblCellMar>
          <w:top w:w="0" w:type="dxa"/>
          <w:left w:w="108" w:type="dxa"/>
          <w:bottom w:w="0" w:type="dxa"/>
          <w:right w:w="108" w:type="dxa"/>
        </w:tblCellMar>
      </w:tblPr>
      <w:tblGrid>
        <w:gridCol w:w="689"/>
        <w:gridCol w:w="1982"/>
        <w:gridCol w:w="2128"/>
        <w:gridCol w:w="1452"/>
        <w:gridCol w:w="1170"/>
        <w:gridCol w:w="1170"/>
        <w:gridCol w:w="1002"/>
      </w:tblGrid>
      <w:tr>
        <w:tblPrEx>
          <w:tblLayout w:type="fixed"/>
          <w:tblCellMar>
            <w:top w:w="0" w:type="dxa"/>
            <w:left w:w="108" w:type="dxa"/>
            <w:bottom w:w="0" w:type="dxa"/>
            <w:right w:w="108" w:type="dxa"/>
          </w:tblCellMar>
        </w:tblPrEx>
        <w:trPr>
          <w:trHeight w:val="534" w:hRule="atLeast"/>
          <w:tblHeader/>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
              <w:spacing w:after="0" w:afterLines="0"/>
              <w:rPr>
                <w:rFonts w:cs="Times New Roman"/>
                <w:b/>
                <w:szCs w:val="21"/>
              </w:rPr>
            </w:pPr>
            <w:r>
              <w:rPr>
                <w:rFonts w:cs="Times New Roman"/>
                <w:b/>
                <w:szCs w:val="21"/>
              </w:rPr>
              <w:t>序</w:t>
            </w:r>
            <w:r>
              <w:rPr>
                <w:rFonts w:hint="eastAsia" w:cs="Times New Roman"/>
                <w:b/>
                <w:szCs w:val="21"/>
              </w:rPr>
              <w:t>号</w:t>
            </w:r>
          </w:p>
        </w:tc>
        <w:tc>
          <w:tcPr>
            <w:tcW w:w="1982" w:type="dxa"/>
            <w:tcBorders>
              <w:top w:val="single" w:color="auto" w:sz="4" w:space="0"/>
              <w:left w:val="nil"/>
              <w:bottom w:val="single" w:color="auto" w:sz="4" w:space="0"/>
              <w:right w:val="single" w:color="auto" w:sz="4" w:space="0"/>
            </w:tcBorders>
            <w:shd w:val="clear" w:color="auto" w:fill="auto"/>
            <w:vAlign w:val="center"/>
          </w:tcPr>
          <w:p>
            <w:pPr>
              <w:pStyle w:val="69"/>
              <w:spacing w:after="0" w:afterLines="0"/>
              <w:ind w:firstLine="360"/>
              <w:jc w:val="center"/>
              <w:rPr>
                <w:rFonts w:cs="Times New Roman"/>
                <w:b/>
                <w:szCs w:val="21"/>
              </w:rPr>
            </w:pPr>
            <w:r>
              <w:rPr>
                <w:rFonts w:cs="Times New Roman"/>
                <w:b/>
                <w:szCs w:val="21"/>
              </w:rPr>
              <w:t>标准中文名称</w:t>
            </w:r>
          </w:p>
        </w:tc>
        <w:tc>
          <w:tcPr>
            <w:tcW w:w="2128" w:type="dxa"/>
            <w:tcBorders>
              <w:top w:val="single" w:color="auto" w:sz="4" w:space="0"/>
              <w:left w:val="nil"/>
              <w:bottom w:val="single" w:color="auto" w:sz="4" w:space="0"/>
              <w:right w:val="single" w:color="auto" w:sz="4" w:space="0"/>
            </w:tcBorders>
            <w:shd w:val="clear" w:color="auto" w:fill="auto"/>
            <w:vAlign w:val="center"/>
          </w:tcPr>
          <w:p>
            <w:pPr>
              <w:pStyle w:val="69"/>
              <w:spacing w:after="0" w:afterLines="0"/>
              <w:ind w:firstLine="360"/>
              <w:jc w:val="center"/>
              <w:rPr>
                <w:rFonts w:cs="Times New Roman"/>
                <w:b/>
                <w:szCs w:val="21"/>
              </w:rPr>
            </w:pPr>
            <w:r>
              <w:rPr>
                <w:rFonts w:cs="Times New Roman"/>
                <w:b/>
                <w:szCs w:val="21"/>
              </w:rPr>
              <w:t>INCI名</w:t>
            </w:r>
          </w:p>
        </w:tc>
        <w:tc>
          <w:tcPr>
            <w:tcW w:w="1452" w:type="dxa"/>
            <w:tcBorders>
              <w:top w:val="single" w:color="auto" w:sz="4" w:space="0"/>
              <w:left w:val="nil"/>
              <w:bottom w:val="single" w:color="auto" w:sz="4" w:space="0"/>
              <w:right w:val="single" w:color="auto" w:sz="4" w:space="0"/>
            </w:tcBorders>
            <w:shd w:val="clear" w:color="auto" w:fill="auto"/>
            <w:vAlign w:val="center"/>
          </w:tcPr>
          <w:p>
            <w:pPr>
              <w:pStyle w:val="69"/>
              <w:spacing w:after="0" w:afterLines="0"/>
              <w:ind w:firstLine="360"/>
              <w:jc w:val="center"/>
              <w:rPr>
                <w:rFonts w:cs="Times New Roman"/>
                <w:b/>
                <w:szCs w:val="21"/>
              </w:rPr>
            </w:pPr>
            <w:r>
              <w:rPr>
                <w:rFonts w:cs="Times New Roman"/>
                <w:b/>
                <w:szCs w:val="21"/>
              </w:rPr>
              <w:t>原料含量 （%）</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69"/>
              <w:spacing w:after="0" w:afterLines="0"/>
              <w:ind w:firstLine="360"/>
              <w:jc w:val="center"/>
              <w:rPr>
                <w:rFonts w:cs="Times New Roman"/>
                <w:b/>
                <w:szCs w:val="21"/>
              </w:rPr>
            </w:pPr>
            <w:r>
              <w:rPr>
                <w:rFonts w:cs="Times New Roman"/>
                <w:b/>
                <w:szCs w:val="21"/>
              </w:rPr>
              <w:t>复配百分比 （%）</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69"/>
              <w:spacing w:after="0" w:afterLines="0"/>
              <w:ind w:firstLine="360"/>
              <w:jc w:val="center"/>
              <w:rPr>
                <w:rFonts w:cs="Times New Roman"/>
                <w:b/>
                <w:szCs w:val="21"/>
              </w:rPr>
            </w:pPr>
            <w:r>
              <w:rPr>
                <w:rFonts w:cs="Times New Roman"/>
                <w:b/>
                <w:szCs w:val="21"/>
              </w:rPr>
              <w:t>实际成分含量（%）</w:t>
            </w:r>
          </w:p>
        </w:tc>
        <w:tc>
          <w:tcPr>
            <w:tcW w:w="1002" w:type="dxa"/>
            <w:tcBorders>
              <w:top w:val="single" w:color="auto" w:sz="4" w:space="0"/>
              <w:left w:val="nil"/>
              <w:bottom w:val="single" w:color="auto" w:sz="4" w:space="0"/>
              <w:right w:val="single" w:color="auto" w:sz="4" w:space="0"/>
            </w:tcBorders>
            <w:shd w:val="clear" w:color="auto" w:fill="auto"/>
            <w:vAlign w:val="center"/>
          </w:tcPr>
          <w:p>
            <w:pPr>
              <w:pStyle w:val="69"/>
              <w:spacing w:after="0" w:afterLines="0"/>
              <w:rPr>
                <w:rFonts w:cs="Times New Roman"/>
                <w:b/>
                <w:szCs w:val="21"/>
              </w:rPr>
            </w:pPr>
            <w:r>
              <w:rPr>
                <w:rFonts w:cs="Times New Roman"/>
                <w:b/>
                <w:szCs w:val="21"/>
              </w:rPr>
              <w:t>功能</w:t>
            </w:r>
          </w:p>
        </w:tc>
      </w:tr>
      <w:tr>
        <w:tblPrEx>
          <w:tblLayout w:type="fixed"/>
          <w:tblCellMar>
            <w:top w:w="0" w:type="dxa"/>
            <w:left w:w="108" w:type="dxa"/>
            <w:bottom w:w="0" w:type="dxa"/>
            <w:right w:w="108" w:type="dxa"/>
          </w:tblCellMar>
        </w:tblPrEx>
        <w:trPr>
          <w:trHeight w:val="272" w:hRule="atLeast"/>
          <w:jc w:val="center"/>
        </w:trPr>
        <w:tc>
          <w:tcPr>
            <w:tcW w:w="689" w:type="dxa"/>
            <w:tcBorders>
              <w:top w:val="nil"/>
              <w:left w:val="single" w:color="000000" w:sz="4" w:space="0"/>
              <w:bottom w:val="single" w:color="000000" w:sz="4" w:space="0"/>
              <w:right w:val="single" w:color="000000" w:sz="4" w:space="0"/>
            </w:tcBorders>
            <w:shd w:val="clear" w:color="FFFFFF" w:fill="FFFFFF"/>
            <w:vAlign w:val="center"/>
          </w:tcPr>
          <w:p>
            <w:pPr>
              <w:pStyle w:val="69"/>
              <w:spacing w:after="0" w:afterLines="0"/>
              <w:jc w:val="center"/>
              <w:rPr>
                <w:szCs w:val="21"/>
              </w:rPr>
            </w:pPr>
            <w:r>
              <w:rPr>
                <w:szCs w:val="21"/>
              </w:rPr>
              <w:t>1</w:t>
            </w: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szCs w:val="21"/>
              </w:rPr>
              <w:t>水</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rFonts w:hint="eastAsia"/>
                <w:szCs w:val="21"/>
              </w:rPr>
              <w:t>WATER</w:t>
            </w:r>
          </w:p>
        </w:tc>
        <w:tc>
          <w:tcPr>
            <w:tcW w:w="1452"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95.3939</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szCs w:val="21"/>
              </w:rPr>
              <w:t>100.000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95.3939</w:t>
            </w:r>
          </w:p>
        </w:tc>
        <w:tc>
          <w:tcPr>
            <w:tcW w:w="1002" w:type="dxa"/>
            <w:tcBorders>
              <w:top w:val="nil"/>
              <w:left w:val="nil"/>
              <w:bottom w:val="single" w:color="auto" w:sz="4" w:space="0"/>
              <w:right w:val="single" w:color="auto" w:sz="4" w:space="0"/>
            </w:tcBorders>
            <w:shd w:val="clear" w:color="auto" w:fill="auto"/>
            <w:vAlign w:val="center"/>
          </w:tcPr>
          <w:p>
            <w:pPr>
              <w:pStyle w:val="69"/>
              <w:spacing w:after="0" w:afterLines="0"/>
              <w:jc w:val="center"/>
              <w:rPr>
                <w:szCs w:val="21"/>
              </w:rPr>
            </w:pPr>
            <w:r>
              <w:rPr>
                <w:szCs w:val="21"/>
              </w:rPr>
              <w:t>溶剂</w:t>
            </w:r>
          </w:p>
        </w:tc>
      </w:tr>
      <w:tr>
        <w:tblPrEx>
          <w:tblLayout w:type="fixed"/>
          <w:tblCellMar>
            <w:top w:w="0" w:type="dxa"/>
            <w:left w:w="108" w:type="dxa"/>
            <w:bottom w:w="0" w:type="dxa"/>
            <w:right w:w="108" w:type="dxa"/>
          </w:tblCellMar>
        </w:tblPrEx>
        <w:trPr>
          <w:trHeight w:val="272" w:hRule="atLeast"/>
          <w:jc w:val="center"/>
        </w:trPr>
        <w:tc>
          <w:tcPr>
            <w:tcW w:w="689" w:type="dxa"/>
            <w:tcBorders>
              <w:top w:val="nil"/>
              <w:left w:val="single" w:color="000000" w:sz="4" w:space="0"/>
              <w:bottom w:val="single" w:color="000000" w:sz="4" w:space="0"/>
              <w:right w:val="single" w:color="000000" w:sz="4" w:space="0"/>
            </w:tcBorders>
            <w:shd w:val="clear" w:color="FFFFFF" w:fill="FFFFFF"/>
            <w:vAlign w:val="center"/>
          </w:tcPr>
          <w:p>
            <w:pPr>
              <w:pStyle w:val="69"/>
              <w:spacing w:after="0" w:afterLines="0"/>
              <w:jc w:val="center"/>
              <w:rPr>
                <w:szCs w:val="21"/>
              </w:rPr>
            </w:pPr>
            <w:r>
              <w:rPr>
                <w:szCs w:val="21"/>
              </w:rPr>
              <w:t>2</w:t>
            </w:r>
          </w:p>
        </w:tc>
        <w:tc>
          <w:tcPr>
            <w:tcW w:w="1982" w:type="dxa"/>
            <w:tcBorders>
              <w:top w:val="nil"/>
              <w:left w:val="nil"/>
              <w:bottom w:val="single" w:color="auto" w:sz="4" w:space="0"/>
              <w:right w:val="single" w:color="auto" w:sz="4" w:space="0"/>
            </w:tcBorders>
            <w:shd w:val="clear" w:color="FFFFFF" w:fill="FFFFFF"/>
            <w:vAlign w:val="bottom"/>
          </w:tcPr>
          <w:p>
            <w:pPr>
              <w:pStyle w:val="69"/>
              <w:spacing w:after="0" w:afterLines="0"/>
              <w:ind w:firstLine="360"/>
              <w:jc w:val="center"/>
              <w:rPr>
                <w:szCs w:val="21"/>
              </w:rPr>
            </w:pPr>
            <w:r>
              <w:rPr>
                <w:szCs w:val="21"/>
              </w:rPr>
              <w:t>香精</w:t>
            </w:r>
          </w:p>
        </w:tc>
        <w:tc>
          <w:tcPr>
            <w:tcW w:w="2128" w:type="dxa"/>
            <w:tcBorders>
              <w:top w:val="nil"/>
              <w:left w:val="nil"/>
              <w:bottom w:val="single" w:color="000000" w:sz="4" w:space="0"/>
              <w:right w:val="single" w:color="000000" w:sz="4" w:space="0"/>
            </w:tcBorders>
            <w:shd w:val="clear" w:color="FFFFFF" w:fill="FFFFFF"/>
            <w:vAlign w:val="bottom"/>
          </w:tcPr>
          <w:p>
            <w:pPr>
              <w:pStyle w:val="69"/>
              <w:spacing w:after="0" w:afterLines="0"/>
              <w:ind w:firstLine="360"/>
              <w:jc w:val="center"/>
              <w:rPr>
                <w:szCs w:val="21"/>
              </w:rPr>
            </w:pPr>
            <w:r>
              <w:rPr>
                <w:rFonts w:hint="eastAsia"/>
                <w:szCs w:val="21"/>
              </w:rPr>
              <w:t>PARFUM</w:t>
            </w:r>
          </w:p>
        </w:tc>
        <w:tc>
          <w:tcPr>
            <w:tcW w:w="1452" w:type="dxa"/>
            <w:tcBorders>
              <w:top w:val="nil"/>
              <w:left w:val="nil"/>
              <w:bottom w:val="single" w:color="000000" w:sz="4" w:space="0"/>
              <w:right w:val="single" w:color="000000" w:sz="4" w:space="0"/>
            </w:tcBorders>
            <w:shd w:val="clear" w:color="auto" w:fill="auto"/>
            <w:vAlign w:val="bottom"/>
          </w:tcPr>
          <w:p>
            <w:pPr>
              <w:pStyle w:val="69"/>
              <w:spacing w:after="0" w:afterLines="0"/>
              <w:jc w:val="center"/>
              <w:rPr>
                <w:szCs w:val="21"/>
              </w:rPr>
            </w:pPr>
            <w:r>
              <w:rPr>
                <w:szCs w:val="21"/>
              </w:rPr>
              <w:t>2.000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bottom"/>
          </w:tcPr>
          <w:p>
            <w:pPr>
              <w:pStyle w:val="69"/>
              <w:spacing w:after="0" w:afterLines="0"/>
              <w:jc w:val="center"/>
              <w:rPr>
                <w:szCs w:val="21"/>
              </w:rPr>
            </w:pPr>
            <w:r>
              <w:rPr>
                <w:szCs w:val="21"/>
              </w:rPr>
              <w:t>100.000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bottom"/>
          </w:tcPr>
          <w:p>
            <w:pPr>
              <w:pStyle w:val="69"/>
              <w:spacing w:after="0" w:afterLines="0"/>
              <w:jc w:val="center"/>
              <w:rPr>
                <w:szCs w:val="21"/>
              </w:rPr>
            </w:pPr>
            <w:r>
              <w:rPr>
                <w:szCs w:val="21"/>
              </w:rPr>
              <w:t>2.000</w:t>
            </w:r>
            <w:r>
              <w:rPr>
                <w:rFonts w:hint="eastAsia"/>
                <w:szCs w:val="21"/>
              </w:rPr>
              <w:t>0</w:t>
            </w:r>
          </w:p>
        </w:tc>
        <w:tc>
          <w:tcPr>
            <w:tcW w:w="1002" w:type="dxa"/>
            <w:tcBorders>
              <w:top w:val="nil"/>
              <w:left w:val="nil"/>
              <w:bottom w:val="single" w:color="auto" w:sz="4" w:space="0"/>
              <w:right w:val="single" w:color="auto" w:sz="4" w:space="0"/>
            </w:tcBorders>
            <w:shd w:val="clear" w:color="auto" w:fill="auto"/>
            <w:vAlign w:val="bottom"/>
          </w:tcPr>
          <w:p>
            <w:pPr>
              <w:pStyle w:val="69"/>
              <w:spacing w:after="0" w:afterLines="0"/>
              <w:jc w:val="center"/>
              <w:rPr>
                <w:szCs w:val="21"/>
              </w:rPr>
            </w:pPr>
            <w:r>
              <w:rPr>
                <w:szCs w:val="21"/>
              </w:rPr>
              <w:t>芳香剂</w:t>
            </w:r>
          </w:p>
        </w:tc>
      </w:tr>
      <w:tr>
        <w:tblPrEx>
          <w:tblLayout w:type="fixed"/>
          <w:tblCellMar>
            <w:top w:w="0" w:type="dxa"/>
            <w:left w:w="108" w:type="dxa"/>
            <w:bottom w:w="0" w:type="dxa"/>
            <w:right w:w="108" w:type="dxa"/>
          </w:tblCellMar>
        </w:tblPrEx>
        <w:trPr>
          <w:trHeight w:val="272" w:hRule="atLeast"/>
          <w:jc w:val="center"/>
        </w:trPr>
        <w:tc>
          <w:tcPr>
            <w:tcW w:w="689" w:type="dxa"/>
            <w:vMerge w:val="restart"/>
            <w:tcBorders>
              <w:top w:val="nil"/>
              <w:left w:val="single" w:color="000000" w:sz="4" w:space="0"/>
              <w:bottom w:val="single" w:color="000000" w:sz="4" w:space="0"/>
              <w:right w:val="single" w:color="000000" w:sz="4" w:space="0"/>
            </w:tcBorders>
            <w:shd w:val="clear" w:color="FFFFFF" w:fill="FFFFFF"/>
            <w:vAlign w:val="center"/>
          </w:tcPr>
          <w:p>
            <w:pPr>
              <w:pStyle w:val="69"/>
              <w:spacing w:after="0" w:afterLines="0"/>
              <w:jc w:val="center"/>
              <w:rPr>
                <w:szCs w:val="21"/>
              </w:rPr>
            </w:pPr>
            <w:r>
              <w:rPr>
                <w:szCs w:val="21"/>
              </w:rPr>
              <w:t>3</w:t>
            </w: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rFonts w:hint="eastAsia"/>
                <w:szCs w:val="21"/>
              </w:rPr>
              <w:t>水</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W</w:t>
            </w:r>
            <w:r>
              <w:rPr>
                <w:rFonts w:hint="eastAsia"/>
                <w:szCs w:val="21"/>
              </w:rPr>
              <w:t>ATER</w:t>
            </w:r>
          </w:p>
        </w:tc>
        <w:tc>
          <w:tcPr>
            <w:tcW w:w="1452" w:type="dxa"/>
            <w:vMerge w:val="restart"/>
            <w:tcBorders>
              <w:top w:val="nil"/>
              <w:left w:val="single" w:color="000000" w:sz="4" w:space="0"/>
              <w:bottom w:val="single" w:color="000000" w:sz="4" w:space="0"/>
              <w:right w:val="single" w:color="000000" w:sz="4" w:space="0"/>
            </w:tcBorders>
            <w:shd w:val="clear" w:color="auto" w:fill="auto"/>
            <w:vAlign w:val="center"/>
          </w:tcPr>
          <w:p>
            <w:pPr>
              <w:pStyle w:val="69"/>
              <w:spacing w:after="0" w:afterLines="0"/>
              <w:jc w:val="center"/>
              <w:rPr>
                <w:szCs w:val="21"/>
              </w:rPr>
            </w:pPr>
            <w:r>
              <w:rPr>
                <w:szCs w:val="21"/>
              </w:rPr>
              <w:t>2.000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45.0000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w:t>
            </w:r>
            <w:r>
              <w:rPr>
                <w:szCs w:val="21"/>
              </w:rPr>
              <w:t>.</w:t>
            </w:r>
            <w:r>
              <w:rPr>
                <w:rFonts w:hint="eastAsia"/>
                <w:szCs w:val="21"/>
              </w:rPr>
              <w:t>9</w:t>
            </w:r>
            <w:r>
              <w:rPr>
                <w:szCs w:val="21"/>
              </w:rPr>
              <w:t>0</w:t>
            </w:r>
            <w:r>
              <w:rPr>
                <w:rFonts w:hint="eastAsia"/>
                <w:szCs w:val="21"/>
              </w:rPr>
              <w:t>00</w:t>
            </w:r>
          </w:p>
        </w:tc>
        <w:tc>
          <w:tcPr>
            <w:tcW w:w="1002" w:type="dxa"/>
            <w:vMerge w:val="restart"/>
            <w:tcBorders>
              <w:top w:val="nil"/>
              <w:left w:val="single" w:color="000000" w:sz="4" w:space="0"/>
              <w:bottom w:val="single" w:color="000000" w:sz="4" w:space="0"/>
              <w:right w:val="single" w:color="auto" w:sz="4" w:space="0"/>
            </w:tcBorders>
            <w:shd w:val="clear" w:color="auto" w:fill="auto"/>
            <w:vAlign w:val="center"/>
          </w:tcPr>
          <w:p>
            <w:pPr>
              <w:pStyle w:val="69"/>
              <w:spacing w:after="0" w:afterLines="0"/>
              <w:jc w:val="center"/>
              <w:rPr>
                <w:szCs w:val="21"/>
              </w:rPr>
            </w:pPr>
            <w:r>
              <w:rPr>
                <w:rFonts w:hint="eastAsia"/>
                <w:szCs w:val="21"/>
              </w:rPr>
              <w:t>皮肤调理剂</w:t>
            </w:r>
          </w:p>
        </w:tc>
      </w:tr>
      <w:tr>
        <w:tblPrEx>
          <w:tblLayout w:type="fixed"/>
          <w:tblCellMar>
            <w:top w:w="0" w:type="dxa"/>
            <w:left w:w="108" w:type="dxa"/>
            <w:bottom w:w="0" w:type="dxa"/>
            <w:right w:w="108" w:type="dxa"/>
          </w:tblCellMar>
        </w:tblPrEx>
        <w:trPr>
          <w:trHeight w:val="272" w:hRule="atLeast"/>
          <w:jc w:val="center"/>
        </w:trPr>
        <w:tc>
          <w:tcPr>
            <w:tcW w:w="689" w:type="dxa"/>
            <w:vMerge w:val="continue"/>
            <w:tcBorders>
              <w:top w:val="nil"/>
              <w:left w:val="single" w:color="000000" w:sz="4" w:space="0"/>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rFonts w:hint="eastAsia"/>
                <w:szCs w:val="21"/>
              </w:rPr>
              <w:t>1,3</w:t>
            </w:r>
            <w:r>
              <w:rPr>
                <w:szCs w:val="21"/>
              </w:rPr>
              <w:t>丙二醇</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PROPANEDIOL</w:t>
            </w:r>
          </w:p>
        </w:tc>
        <w:tc>
          <w:tcPr>
            <w:tcW w:w="1452" w:type="dxa"/>
            <w:vMerge w:val="continue"/>
            <w:tcBorders>
              <w:top w:val="nil"/>
              <w:left w:val="single" w:color="000000" w:sz="4" w:space="0"/>
              <w:bottom w:val="single" w:color="000000" w:sz="4" w:space="0"/>
              <w:right w:val="single" w:color="000000" w:sz="4" w:space="0"/>
            </w:tcBorders>
            <w:shd w:val="clear" w:color="auto" w:fill="auto"/>
            <w:vAlign w:val="center"/>
          </w:tcPr>
          <w:p>
            <w:pPr>
              <w:pStyle w:val="69"/>
              <w:spacing w:after="0" w:afterLines="0"/>
              <w:ind w:firstLine="360"/>
              <w:jc w:val="center"/>
              <w:rPr>
                <w:szCs w:val="21"/>
              </w:rPr>
            </w:pP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50.0000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1.0000</w:t>
            </w:r>
          </w:p>
        </w:tc>
        <w:tc>
          <w:tcPr>
            <w:tcW w:w="1002" w:type="dxa"/>
            <w:vMerge w:val="continue"/>
            <w:tcBorders>
              <w:top w:val="nil"/>
              <w:left w:val="single" w:color="000000" w:sz="4" w:space="0"/>
              <w:bottom w:val="single" w:color="000000" w:sz="4" w:space="0"/>
              <w:right w:val="single" w:color="auto" w:sz="4" w:space="0"/>
            </w:tcBorders>
            <w:shd w:val="clear" w:color="auto" w:fill="auto"/>
            <w:vAlign w:val="center"/>
          </w:tcPr>
          <w:p>
            <w:pPr>
              <w:pStyle w:val="69"/>
              <w:spacing w:after="0" w:afterLines="0"/>
              <w:ind w:firstLine="360"/>
              <w:jc w:val="center"/>
              <w:rPr>
                <w:szCs w:val="21"/>
              </w:rPr>
            </w:pPr>
          </w:p>
        </w:tc>
      </w:tr>
      <w:tr>
        <w:tblPrEx>
          <w:tblLayout w:type="fixed"/>
          <w:tblCellMar>
            <w:top w:w="0" w:type="dxa"/>
            <w:left w:w="108" w:type="dxa"/>
            <w:bottom w:w="0" w:type="dxa"/>
            <w:right w:w="108" w:type="dxa"/>
          </w:tblCellMar>
        </w:tblPrEx>
        <w:trPr>
          <w:trHeight w:val="534" w:hRule="atLeast"/>
          <w:jc w:val="center"/>
        </w:trPr>
        <w:tc>
          <w:tcPr>
            <w:tcW w:w="689" w:type="dxa"/>
            <w:vMerge w:val="continue"/>
            <w:tcBorders>
              <w:top w:val="nil"/>
              <w:left w:val="single" w:color="000000" w:sz="4" w:space="0"/>
              <w:bottom w:val="single" w:color="000000" w:sz="4" w:space="0"/>
              <w:right w:val="single" w:color="000000" w:sz="4" w:space="0"/>
            </w:tcBorders>
            <w:vAlign w:val="center"/>
          </w:tcPr>
          <w:p>
            <w:pPr>
              <w:pStyle w:val="69"/>
              <w:spacing w:after="0" w:afterLines="0"/>
              <w:ind w:firstLine="360"/>
              <w:jc w:val="center"/>
              <w:rPr>
                <w:szCs w:val="21"/>
              </w:rPr>
            </w:pP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rFonts w:hint="eastAsia"/>
                <w:szCs w:val="21"/>
              </w:rPr>
              <w:t>墨角藻（FUCUS VESICULOSUS）提取物</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FUCUS VESICULOSUS EXTRACT</w:t>
            </w:r>
          </w:p>
        </w:tc>
        <w:tc>
          <w:tcPr>
            <w:tcW w:w="1452" w:type="dxa"/>
            <w:vMerge w:val="continue"/>
            <w:tcBorders>
              <w:top w:val="nil"/>
              <w:left w:val="single" w:color="000000" w:sz="4" w:space="0"/>
              <w:bottom w:val="single" w:color="000000" w:sz="4" w:space="0"/>
              <w:right w:val="single" w:color="000000" w:sz="4" w:space="0"/>
            </w:tcBorders>
            <w:vAlign w:val="center"/>
          </w:tcPr>
          <w:p>
            <w:pPr>
              <w:pStyle w:val="69"/>
              <w:spacing w:after="0" w:afterLines="0"/>
              <w:ind w:firstLine="360"/>
              <w:jc w:val="center"/>
              <w:rPr>
                <w:szCs w:val="21"/>
              </w:rPr>
            </w:pP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szCs w:val="21"/>
              </w:rPr>
              <w:t>5.000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0.1000</w:t>
            </w:r>
          </w:p>
        </w:tc>
        <w:tc>
          <w:tcPr>
            <w:tcW w:w="1002" w:type="dxa"/>
            <w:vMerge w:val="continue"/>
            <w:tcBorders>
              <w:top w:val="nil"/>
              <w:left w:val="single" w:color="000000" w:sz="4" w:space="0"/>
              <w:bottom w:val="single" w:color="000000" w:sz="4" w:space="0"/>
              <w:right w:val="single" w:color="auto" w:sz="4" w:space="0"/>
            </w:tcBorders>
            <w:vAlign w:val="center"/>
          </w:tcPr>
          <w:p>
            <w:pPr>
              <w:pStyle w:val="69"/>
              <w:spacing w:after="0" w:afterLines="0"/>
              <w:ind w:firstLine="360"/>
              <w:jc w:val="center"/>
              <w:rPr>
                <w:szCs w:val="21"/>
              </w:rPr>
            </w:pPr>
          </w:p>
        </w:tc>
      </w:tr>
      <w:tr>
        <w:tblPrEx>
          <w:tblLayout w:type="fixed"/>
          <w:tblCellMar>
            <w:top w:w="0" w:type="dxa"/>
            <w:left w:w="108" w:type="dxa"/>
            <w:bottom w:w="0" w:type="dxa"/>
            <w:right w:w="108" w:type="dxa"/>
          </w:tblCellMar>
        </w:tblPrEx>
        <w:trPr>
          <w:trHeight w:val="272" w:hRule="atLeast"/>
          <w:jc w:val="center"/>
        </w:trPr>
        <w:tc>
          <w:tcPr>
            <w:tcW w:w="689" w:type="dxa"/>
            <w:tcBorders>
              <w:top w:val="nil"/>
              <w:left w:val="single" w:color="000000" w:sz="4" w:space="0"/>
              <w:bottom w:val="single" w:color="000000" w:sz="4" w:space="0"/>
              <w:right w:val="single" w:color="000000" w:sz="4" w:space="0"/>
            </w:tcBorders>
            <w:vAlign w:val="center"/>
          </w:tcPr>
          <w:p>
            <w:pPr>
              <w:pStyle w:val="69"/>
              <w:spacing w:after="0" w:afterLines="0"/>
              <w:jc w:val="center"/>
              <w:rPr>
                <w:szCs w:val="21"/>
              </w:rPr>
            </w:pPr>
            <w:r>
              <w:rPr>
                <w:rFonts w:hint="eastAsia"/>
                <w:szCs w:val="21"/>
              </w:rPr>
              <w:t>4</w:t>
            </w: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szCs w:val="21"/>
              </w:rPr>
              <w:t>苯氧乙醇</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PHENOXYETHANOL</w:t>
            </w:r>
          </w:p>
        </w:tc>
        <w:tc>
          <w:tcPr>
            <w:tcW w:w="1452" w:type="dxa"/>
            <w:tcBorders>
              <w:top w:val="nil"/>
              <w:left w:val="single" w:color="000000" w:sz="4" w:space="0"/>
              <w:bottom w:val="single" w:color="000000" w:sz="4" w:space="0"/>
              <w:right w:val="single" w:color="000000" w:sz="4" w:space="0"/>
            </w:tcBorders>
            <w:vAlign w:val="center"/>
          </w:tcPr>
          <w:p>
            <w:pPr>
              <w:pStyle w:val="69"/>
              <w:spacing w:after="0" w:afterLines="0"/>
              <w:jc w:val="center"/>
              <w:rPr>
                <w:szCs w:val="21"/>
              </w:rPr>
            </w:pPr>
            <w:r>
              <w:rPr>
                <w:szCs w:val="21"/>
              </w:rPr>
              <w:t>0.500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szCs w:val="21"/>
              </w:rPr>
              <w:t>100.000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szCs w:val="21"/>
              </w:rPr>
              <w:t>0.500</w:t>
            </w:r>
            <w:r>
              <w:rPr>
                <w:rFonts w:hint="eastAsia"/>
                <w:szCs w:val="21"/>
              </w:rPr>
              <w:t>0</w:t>
            </w:r>
          </w:p>
        </w:tc>
        <w:tc>
          <w:tcPr>
            <w:tcW w:w="1002" w:type="dxa"/>
            <w:tcBorders>
              <w:top w:val="nil"/>
              <w:left w:val="single" w:color="000000" w:sz="4" w:space="0"/>
              <w:bottom w:val="single" w:color="000000" w:sz="4" w:space="0"/>
              <w:right w:val="single" w:color="auto" w:sz="4" w:space="0"/>
            </w:tcBorders>
            <w:vAlign w:val="center"/>
          </w:tcPr>
          <w:p>
            <w:pPr>
              <w:pStyle w:val="69"/>
              <w:spacing w:after="0" w:afterLines="0"/>
              <w:jc w:val="center"/>
              <w:rPr>
                <w:szCs w:val="21"/>
              </w:rPr>
            </w:pPr>
            <w:r>
              <w:rPr>
                <w:rFonts w:hint="eastAsia"/>
                <w:szCs w:val="21"/>
              </w:rPr>
              <w:t>防腐剂</w:t>
            </w:r>
          </w:p>
        </w:tc>
      </w:tr>
      <w:tr>
        <w:tblPrEx>
          <w:tblLayout w:type="fixed"/>
          <w:tblCellMar>
            <w:top w:w="0" w:type="dxa"/>
            <w:left w:w="108" w:type="dxa"/>
            <w:bottom w:w="0" w:type="dxa"/>
            <w:right w:w="108" w:type="dxa"/>
          </w:tblCellMar>
        </w:tblPrEx>
        <w:trPr>
          <w:trHeight w:val="534" w:hRule="atLeast"/>
          <w:jc w:val="center"/>
        </w:trPr>
        <w:tc>
          <w:tcPr>
            <w:tcW w:w="689" w:type="dxa"/>
            <w:tcBorders>
              <w:top w:val="nil"/>
              <w:left w:val="single" w:color="000000" w:sz="4" w:space="0"/>
              <w:bottom w:val="single" w:color="000000" w:sz="4" w:space="0"/>
              <w:right w:val="single" w:color="000000" w:sz="4" w:space="0"/>
            </w:tcBorders>
            <w:vAlign w:val="center"/>
          </w:tcPr>
          <w:p>
            <w:pPr>
              <w:pStyle w:val="69"/>
              <w:spacing w:after="0" w:afterLines="0"/>
              <w:jc w:val="center"/>
              <w:rPr>
                <w:szCs w:val="21"/>
              </w:rPr>
            </w:pPr>
            <w:r>
              <w:rPr>
                <w:rFonts w:hint="eastAsia"/>
                <w:szCs w:val="21"/>
              </w:rPr>
              <w:t>5</w:t>
            </w: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rFonts w:hint="eastAsia"/>
                <w:szCs w:val="21"/>
              </w:rPr>
              <w:t>蜂（Apis mellifera）蜜</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HONEY</w:t>
            </w:r>
          </w:p>
        </w:tc>
        <w:tc>
          <w:tcPr>
            <w:tcW w:w="1452" w:type="dxa"/>
            <w:tcBorders>
              <w:top w:val="nil"/>
              <w:left w:val="single" w:color="000000" w:sz="4" w:space="0"/>
              <w:bottom w:val="single" w:color="000000" w:sz="4" w:space="0"/>
              <w:right w:val="single" w:color="000000" w:sz="4" w:space="0"/>
            </w:tcBorders>
            <w:vAlign w:val="center"/>
          </w:tcPr>
          <w:p>
            <w:pPr>
              <w:pStyle w:val="69"/>
              <w:spacing w:after="0" w:afterLines="0"/>
              <w:jc w:val="center"/>
              <w:rPr>
                <w:szCs w:val="21"/>
              </w:rPr>
            </w:pPr>
            <w:r>
              <w:rPr>
                <w:rFonts w:hint="eastAsia"/>
                <w:szCs w:val="21"/>
              </w:rPr>
              <w:t>0.1000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szCs w:val="21"/>
              </w:rPr>
              <w:t>100.000</w:t>
            </w:r>
            <w:r>
              <w:rPr>
                <w:rFonts w:hint="eastAsia"/>
                <w:szCs w:val="21"/>
              </w:rPr>
              <w:t>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0.1000</w:t>
            </w:r>
          </w:p>
        </w:tc>
        <w:tc>
          <w:tcPr>
            <w:tcW w:w="1002" w:type="dxa"/>
            <w:tcBorders>
              <w:top w:val="nil"/>
              <w:left w:val="single" w:color="000000" w:sz="4" w:space="0"/>
              <w:bottom w:val="single" w:color="000000" w:sz="4" w:space="0"/>
              <w:right w:val="single" w:color="auto" w:sz="4" w:space="0"/>
            </w:tcBorders>
            <w:vAlign w:val="center"/>
          </w:tcPr>
          <w:p>
            <w:pPr>
              <w:pStyle w:val="69"/>
              <w:spacing w:after="0" w:afterLines="0"/>
              <w:jc w:val="center"/>
              <w:rPr>
                <w:szCs w:val="21"/>
              </w:rPr>
            </w:pPr>
            <w:r>
              <w:rPr>
                <w:rFonts w:hint="eastAsia"/>
                <w:szCs w:val="21"/>
              </w:rPr>
              <w:t>皮肤调理剂</w:t>
            </w:r>
          </w:p>
        </w:tc>
      </w:tr>
      <w:tr>
        <w:tblPrEx>
          <w:tblLayout w:type="fixed"/>
          <w:tblCellMar>
            <w:top w:w="0" w:type="dxa"/>
            <w:left w:w="108" w:type="dxa"/>
            <w:bottom w:w="0" w:type="dxa"/>
            <w:right w:w="108" w:type="dxa"/>
          </w:tblCellMar>
        </w:tblPrEx>
        <w:trPr>
          <w:trHeight w:val="534" w:hRule="atLeast"/>
          <w:jc w:val="center"/>
        </w:trPr>
        <w:tc>
          <w:tcPr>
            <w:tcW w:w="689" w:type="dxa"/>
            <w:tcBorders>
              <w:top w:val="nil"/>
              <w:left w:val="single" w:color="000000" w:sz="4" w:space="0"/>
              <w:bottom w:val="single" w:color="000000" w:sz="4" w:space="0"/>
              <w:right w:val="single" w:color="000000" w:sz="4" w:space="0"/>
            </w:tcBorders>
            <w:shd w:val="clear" w:color="FFFFFF" w:fill="FFFFFF"/>
            <w:vAlign w:val="center"/>
          </w:tcPr>
          <w:p>
            <w:pPr>
              <w:pStyle w:val="69"/>
              <w:spacing w:after="0" w:afterLines="0"/>
              <w:jc w:val="center"/>
              <w:rPr>
                <w:szCs w:val="21"/>
              </w:rPr>
            </w:pPr>
            <w:r>
              <w:rPr>
                <w:rFonts w:hint="eastAsia"/>
                <w:szCs w:val="21"/>
              </w:rPr>
              <w:t>6</w:t>
            </w: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szCs w:val="21"/>
              </w:rPr>
              <w:t>花生醇</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ARACHIDYL ALCOHOL</w:t>
            </w:r>
          </w:p>
        </w:tc>
        <w:tc>
          <w:tcPr>
            <w:tcW w:w="1452" w:type="dxa"/>
            <w:tcBorders>
              <w:top w:val="nil"/>
              <w:left w:val="single" w:color="000000" w:sz="4" w:space="0"/>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0.0060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100.0000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0.0060</w:t>
            </w:r>
          </w:p>
        </w:tc>
        <w:tc>
          <w:tcPr>
            <w:tcW w:w="1002" w:type="dxa"/>
            <w:tcBorders>
              <w:top w:val="nil"/>
              <w:left w:val="single" w:color="000000" w:sz="4" w:space="0"/>
              <w:bottom w:val="single" w:color="000000" w:sz="4" w:space="0"/>
              <w:right w:val="single" w:color="auto" w:sz="4" w:space="0"/>
            </w:tcBorders>
            <w:shd w:val="clear" w:color="auto" w:fill="auto"/>
            <w:vAlign w:val="center"/>
          </w:tcPr>
          <w:p>
            <w:pPr>
              <w:pStyle w:val="69"/>
              <w:spacing w:after="0" w:afterLines="0"/>
              <w:jc w:val="center"/>
              <w:rPr>
                <w:szCs w:val="21"/>
              </w:rPr>
            </w:pPr>
            <w:r>
              <w:rPr>
                <w:rFonts w:hint="eastAsia"/>
                <w:szCs w:val="21"/>
              </w:rPr>
              <w:t>乳化稳定剂</w:t>
            </w:r>
          </w:p>
        </w:tc>
      </w:tr>
      <w:tr>
        <w:tblPrEx>
          <w:tblLayout w:type="fixed"/>
          <w:tblCellMar>
            <w:top w:w="0" w:type="dxa"/>
            <w:left w:w="108" w:type="dxa"/>
            <w:bottom w:w="0" w:type="dxa"/>
            <w:right w:w="108" w:type="dxa"/>
          </w:tblCellMar>
        </w:tblPrEx>
        <w:trPr>
          <w:trHeight w:val="545" w:hRule="atLeast"/>
          <w:jc w:val="center"/>
        </w:trPr>
        <w:tc>
          <w:tcPr>
            <w:tcW w:w="689" w:type="dxa"/>
            <w:tcBorders>
              <w:top w:val="nil"/>
              <w:left w:val="single" w:color="000000" w:sz="4" w:space="0"/>
              <w:bottom w:val="single" w:color="000000" w:sz="4" w:space="0"/>
              <w:right w:val="single" w:color="000000" w:sz="4" w:space="0"/>
            </w:tcBorders>
            <w:shd w:val="clear" w:color="FFFFFF" w:fill="FFFFFF"/>
            <w:vAlign w:val="center"/>
          </w:tcPr>
          <w:p>
            <w:pPr>
              <w:pStyle w:val="69"/>
              <w:spacing w:after="0" w:afterLines="0"/>
              <w:jc w:val="center"/>
              <w:rPr>
                <w:szCs w:val="21"/>
              </w:rPr>
            </w:pPr>
            <w:r>
              <w:rPr>
                <w:rFonts w:hint="eastAsia"/>
                <w:szCs w:val="21"/>
              </w:rPr>
              <w:t>7</w:t>
            </w:r>
          </w:p>
        </w:tc>
        <w:tc>
          <w:tcPr>
            <w:tcW w:w="1982" w:type="dxa"/>
            <w:tcBorders>
              <w:top w:val="nil"/>
              <w:left w:val="nil"/>
              <w:bottom w:val="single" w:color="auto" w:sz="4" w:space="0"/>
              <w:right w:val="single" w:color="auto" w:sz="4" w:space="0"/>
            </w:tcBorders>
            <w:shd w:val="clear" w:color="FFFFFF" w:fill="FFFFFF"/>
            <w:vAlign w:val="center"/>
          </w:tcPr>
          <w:p>
            <w:pPr>
              <w:pStyle w:val="69"/>
              <w:spacing w:after="0" w:afterLines="0"/>
              <w:ind w:firstLine="360"/>
              <w:jc w:val="center"/>
              <w:rPr>
                <w:szCs w:val="21"/>
              </w:rPr>
            </w:pPr>
            <w:r>
              <w:rPr>
                <w:rFonts w:hint="eastAsia"/>
                <w:szCs w:val="21"/>
              </w:rPr>
              <w:t>氯化镁</w:t>
            </w:r>
          </w:p>
        </w:tc>
        <w:tc>
          <w:tcPr>
            <w:tcW w:w="2128" w:type="dxa"/>
            <w:tcBorders>
              <w:top w:val="nil"/>
              <w:left w:val="nil"/>
              <w:bottom w:val="single" w:color="000000" w:sz="4" w:space="0"/>
              <w:right w:val="single" w:color="000000" w:sz="4" w:space="0"/>
            </w:tcBorders>
            <w:shd w:val="clear" w:color="FFFFFF" w:fill="FFFFFF"/>
            <w:vAlign w:val="center"/>
          </w:tcPr>
          <w:p>
            <w:pPr>
              <w:pStyle w:val="69"/>
              <w:spacing w:after="0" w:afterLines="0"/>
              <w:ind w:firstLine="360"/>
              <w:jc w:val="center"/>
              <w:rPr>
                <w:szCs w:val="21"/>
              </w:rPr>
            </w:pPr>
            <w:r>
              <w:rPr>
                <w:szCs w:val="21"/>
              </w:rPr>
              <w:t>MAGNESIUM CHLORIDE</w:t>
            </w:r>
          </w:p>
        </w:tc>
        <w:tc>
          <w:tcPr>
            <w:tcW w:w="1452" w:type="dxa"/>
            <w:tcBorders>
              <w:top w:val="nil"/>
              <w:left w:val="single" w:color="000000" w:sz="4" w:space="0"/>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0.0001</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100.0000</w:t>
            </w:r>
          </w:p>
        </w:tc>
        <w:tc>
          <w:tcPr>
            <w:tcW w:w="1170" w:type="dxa"/>
            <w:tcBorders>
              <w:top w:val="nil"/>
              <w:left w:val="nil"/>
              <w:bottom w:val="single" w:color="000000" w:sz="4" w:space="0"/>
              <w:right w:val="single" w:color="000000" w:sz="4" w:space="0"/>
            </w:tcBorders>
            <w:shd w:val="clear" w:color="auto" w:fill="auto"/>
            <w:vAlign w:val="center"/>
          </w:tcPr>
          <w:p>
            <w:pPr>
              <w:pStyle w:val="69"/>
              <w:spacing w:after="0" w:afterLines="0"/>
              <w:jc w:val="center"/>
              <w:rPr>
                <w:szCs w:val="21"/>
              </w:rPr>
            </w:pPr>
            <w:r>
              <w:rPr>
                <w:rFonts w:hint="eastAsia"/>
                <w:szCs w:val="21"/>
              </w:rPr>
              <w:t>0.0001</w:t>
            </w:r>
          </w:p>
        </w:tc>
        <w:tc>
          <w:tcPr>
            <w:tcW w:w="1002" w:type="dxa"/>
            <w:tcBorders>
              <w:top w:val="nil"/>
              <w:left w:val="single" w:color="000000" w:sz="4" w:space="0"/>
              <w:bottom w:val="single" w:color="000000" w:sz="4" w:space="0"/>
              <w:right w:val="single" w:color="auto" w:sz="4" w:space="0"/>
            </w:tcBorders>
            <w:shd w:val="clear" w:color="auto" w:fill="auto"/>
            <w:vAlign w:val="center"/>
          </w:tcPr>
          <w:p>
            <w:pPr>
              <w:pStyle w:val="69"/>
              <w:spacing w:after="0" w:afterLines="0"/>
              <w:jc w:val="center"/>
              <w:rPr>
                <w:szCs w:val="21"/>
              </w:rPr>
            </w:pPr>
            <w:r>
              <w:rPr>
                <w:rFonts w:hint="eastAsia"/>
                <w:szCs w:val="21"/>
              </w:rPr>
              <w:t>皮肤调理剂</w:t>
            </w:r>
          </w:p>
        </w:tc>
      </w:tr>
    </w:tbl>
    <w:p>
      <w:pPr>
        <w:spacing w:before="120" w:after="120" w:line="240" w:lineRule="auto"/>
        <w:ind w:firstLine="420"/>
        <w:rPr>
          <w:rFonts w:ascii="Times New Roman" w:hAnsi="Times New Roman" w:eastAsia="宋体" w:cs="Calibri"/>
          <w:sz w:val="21"/>
          <w:szCs w:val="21"/>
        </w:rPr>
      </w:pPr>
    </w:p>
    <w:p>
      <w:pPr>
        <w:pStyle w:val="70"/>
        <w:spacing w:before="120" w:after="120"/>
        <w:rPr>
          <w:rFonts w:eastAsia="宋体"/>
          <w:b/>
          <w:szCs w:val="21"/>
        </w:rPr>
      </w:pPr>
      <w:r>
        <w:rPr>
          <w:rFonts w:hint="eastAsia" w:eastAsia="宋体"/>
          <w:b/>
          <w:szCs w:val="21"/>
        </w:rPr>
        <w:t>表2 产品成分浓度整合表</w:t>
      </w:r>
    </w:p>
    <w:tbl>
      <w:tblPr>
        <w:tblStyle w:val="28"/>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7"/>
        <w:gridCol w:w="386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067" w:type="dxa"/>
            <w:shd w:val="clear" w:color="auto" w:fill="auto"/>
            <w:vAlign w:val="center"/>
          </w:tcPr>
          <w:p>
            <w:pPr>
              <w:pStyle w:val="69"/>
              <w:spacing w:after="0" w:afterLines="0"/>
              <w:ind w:firstLine="360"/>
              <w:jc w:val="center"/>
              <w:rPr>
                <w:rFonts w:cs="Times New Roman"/>
                <w:b/>
                <w:szCs w:val="21"/>
              </w:rPr>
            </w:pPr>
            <w:r>
              <w:rPr>
                <w:rFonts w:cs="Times New Roman"/>
                <w:b/>
                <w:szCs w:val="21"/>
              </w:rPr>
              <w:t>标准中文名称</w:t>
            </w:r>
          </w:p>
        </w:tc>
        <w:tc>
          <w:tcPr>
            <w:tcW w:w="3864" w:type="dxa"/>
            <w:shd w:val="clear" w:color="auto" w:fill="auto"/>
            <w:vAlign w:val="center"/>
          </w:tcPr>
          <w:p>
            <w:pPr>
              <w:pStyle w:val="69"/>
              <w:spacing w:after="0" w:afterLines="0"/>
              <w:ind w:firstLine="360"/>
              <w:jc w:val="center"/>
              <w:rPr>
                <w:rFonts w:cs="Times New Roman"/>
                <w:b/>
                <w:szCs w:val="21"/>
              </w:rPr>
            </w:pPr>
            <w:r>
              <w:rPr>
                <w:rFonts w:cs="Times New Roman"/>
                <w:b/>
                <w:szCs w:val="21"/>
              </w:rPr>
              <w:t>INCI名</w:t>
            </w:r>
          </w:p>
        </w:tc>
        <w:tc>
          <w:tcPr>
            <w:tcW w:w="1685" w:type="dxa"/>
            <w:shd w:val="clear" w:color="auto" w:fill="auto"/>
            <w:vAlign w:val="center"/>
          </w:tcPr>
          <w:p>
            <w:pPr>
              <w:pStyle w:val="69"/>
              <w:spacing w:after="0" w:afterLines="0"/>
              <w:jc w:val="center"/>
              <w:rPr>
                <w:rFonts w:cs="Times New Roman"/>
                <w:b/>
                <w:szCs w:val="21"/>
              </w:rPr>
            </w:pPr>
            <w:r>
              <w:rPr>
                <w:rFonts w:cs="Times New Roman"/>
                <w:b/>
                <w:szCs w:val="21"/>
              </w:rPr>
              <w:t>实际成分含量（%）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auto" w:fill="auto"/>
            <w:vAlign w:val="center"/>
          </w:tcPr>
          <w:p>
            <w:pPr>
              <w:pStyle w:val="69"/>
              <w:spacing w:after="0" w:afterLines="0"/>
              <w:ind w:firstLine="360"/>
              <w:jc w:val="center"/>
              <w:rPr>
                <w:szCs w:val="21"/>
              </w:rPr>
            </w:pPr>
            <w:r>
              <w:rPr>
                <w:szCs w:val="21"/>
              </w:rPr>
              <w:t>水</w:t>
            </w:r>
          </w:p>
        </w:tc>
        <w:tc>
          <w:tcPr>
            <w:tcW w:w="3864" w:type="dxa"/>
            <w:shd w:val="clear" w:color="auto" w:fill="auto"/>
            <w:vAlign w:val="center"/>
          </w:tcPr>
          <w:p>
            <w:pPr>
              <w:pStyle w:val="69"/>
              <w:spacing w:after="0" w:afterLines="0"/>
              <w:ind w:firstLine="360"/>
              <w:jc w:val="center"/>
              <w:rPr>
                <w:szCs w:val="21"/>
              </w:rPr>
            </w:pPr>
            <w:r>
              <w:rPr>
                <w:szCs w:val="21"/>
              </w:rPr>
              <w:t>WATER</w:t>
            </w:r>
          </w:p>
        </w:tc>
        <w:tc>
          <w:tcPr>
            <w:tcW w:w="1685" w:type="dxa"/>
            <w:shd w:val="clear" w:color="auto" w:fill="auto"/>
            <w:vAlign w:val="center"/>
          </w:tcPr>
          <w:p>
            <w:pPr>
              <w:pStyle w:val="69"/>
              <w:spacing w:after="0" w:afterLines="0"/>
              <w:jc w:val="center"/>
              <w:rPr>
                <w:szCs w:val="21"/>
              </w:rPr>
            </w:pPr>
            <w:r>
              <w:rPr>
                <w:rFonts w:hint="eastAsia"/>
                <w:szCs w:val="21"/>
              </w:rPr>
              <w:t>96.2939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000000" w:fill="FFFFFF"/>
            <w:vAlign w:val="center"/>
          </w:tcPr>
          <w:p>
            <w:pPr>
              <w:pStyle w:val="69"/>
              <w:spacing w:after="0" w:afterLines="0"/>
              <w:ind w:firstLine="360"/>
              <w:jc w:val="center"/>
              <w:rPr>
                <w:szCs w:val="21"/>
              </w:rPr>
            </w:pPr>
            <w:r>
              <w:rPr>
                <w:szCs w:val="21"/>
              </w:rPr>
              <w:t>香精</w:t>
            </w:r>
          </w:p>
        </w:tc>
        <w:tc>
          <w:tcPr>
            <w:tcW w:w="3864" w:type="dxa"/>
            <w:shd w:val="clear" w:color="000000" w:fill="FFFFFF"/>
            <w:vAlign w:val="center"/>
          </w:tcPr>
          <w:p>
            <w:pPr>
              <w:pStyle w:val="69"/>
              <w:spacing w:after="0" w:afterLines="0"/>
              <w:ind w:firstLine="360"/>
              <w:jc w:val="center"/>
              <w:rPr>
                <w:szCs w:val="21"/>
              </w:rPr>
            </w:pPr>
            <w:r>
              <w:rPr>
                <w:rFonts w:hint="eastAsia"/>
                <w:szCs w:val="21"/>
              </w:rPr>
              <w:t>PARFUM</w:t>
            </w:r>
          </w:p>
        </w:tc>
        <w:tc>
          <w:tcPr>
            <w:tcW w:w="1685" w:type="dxa"/>
            <w:shd w:val="clear" w:color="auto" w:fill="auto"/>
            <w:vAlign w:val="center"/>
          </w:tcPr>
          <w:p>
            <w:pPr>
              <w:pStyle w:val="69"/>
              <w:spacing w:after="0" w:afterLines="0"/>
              <w:jc w:val="center"/>
              <w:rPr>
                <w:szCs w:val="21"/>
              </w:rPr>
            </w:pPr>
            <w:r>
              <w:rPr>
                <w:szCs w:val="21"/>
              </w:rPr>
              <w:t>2</w:t>
            </w:r>
            <w:r>
              <w:rPr>
                <w:rFonts w:hint="eastAsia"/>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000000" w:fill="FFFFFF"/>
            <w:vAlign w:val="center"/>
          </w:tcPr>
          <w:p>
            <w:pPr>
              <w:pStyle w:val="69"/>
              <w:spacing w:after="0" w:afterLines="0"/>
              <w:ind w:firstLine="360"/>
              <w:jc w:val="center"/>
              <w:rPr>
                <w:szCs w:val="21"/>
              </w:rPr>
            </w:pPr>
            <w:r>
              <w:rPr>
                <w:rFonts w:hint="eastAsia"/>
                <w:szCs w:val="21"/>
              </w:rPr>
              <w:t>1,3</w:t>
            </w:r>
            <w:r>
              <w:rPr>
                <w:szCs w:val="21"/>
              </w:rPr>
              <w:t>丙二醇</w:t>
            </w:r>
          </w:p>
        </w:tc>
        <w:tc>
          <w:tcPr>
            <w:tcW w:w="3864" w:type="dxa"/>
            <w:shd w:val="clear" w:color="000000" w:fill="FFFFFF"/>
            <w:vAlign w:val="center"/>
          </w:tcPr>
          <w:p>
            <w:pPr>
              <w:pStyle w:val="69"/>
              <w:spacing w:after="0" w:afterLines="0"/>
              <w:ind w:firstLine="360"/>
              <w:jc w:val="center"/>
              <w:rPr>
                <w:szCs w:val="21"/>
              </w:rPr>
            </w:pPr>
            <w:r>
              <w:rPr>
                <w:szCs w:val="21"/>
              </w:rPr>
              <w:t>PROPANEDIOL</w:t>
            </w:r>
          </w:p>
        </w:tc>
        <w:tc>
          <w:tcPr>
            <w:tcW w:w="1685" w:type="dxa"/>
            <w:shd w:val="clear" w:color="auto" w:fill="auto"/>
            <w:vAlign w:val="center"/>
          </w:tcPr>
          <w:p>
            <w:pPr>
              <w:pStyle w:val="69"/>
              <w:spacing w:after="0" w:afterLines="0"/>
              <w:jc w:val="center"/>
              <w:rPr>
                <w:szCs w:val="21"/>
              </w:rPr>
            </w:pPr>
            <w:r>
              <w:rPr>
                <w:rFonts w:hint="eastAsia"/>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000000" w:fill="FFFFFF"/>
            <w:vAlign w:val="center"/>
          </w:tcPr>
          <w:p>
            <w:pPr>
              <w:pStyle w:val="69"/>
              <w:spacing w:after="0" w:afterLines="0"/>
              <w:ind w:firstLine="360"/>
              <w:jc w:val="center"/>
              <w:rPr>
                <w:szCs w:val="21"/>
              </w:rPr>
            </w:pPr>
            <w:r>
              <w:rPr>
                <w:szCs w:val="21"/>
              </w:rPr>
              <w:t>苯氧乙醇</w:t>
            </w:r>
          </w:p>
        </w:tc>
        <w:tc>
          <w:tcPr>
            <w:tcW w:w="3864" w:type="dxa"/>
            <w:shd w:val="clear" w:color="000000" w:fill="FFFFFF"/>
            <w:vAlign w:val="center"/>
          </w:tcPr>
          <w:p>
            <w:pPr>
              <w:pStyle w:val="69"/>
              <w:spacing w:after="0" w:afterLines="0"/>
              <w:ind w:firstLine="360"/>
              <w:jc w:val="center"/>
              <w:rPr>
                <w:szCs w:val="21"/>
              </w:rPr>
            </w:pPr>
            <w:r>
              <w:rPr>
                <w:szCs w:val="21"/>
              </w:rPr>
              <w:t>PHENOXYETHANOL</w:t>
            </w:r>
          </w:p>
        </w:tc>
        <w:tc>
          <w:tcPr>
            <w:tcW w:w="1685" w:type="dxa"/>
            <w:shd w:val="clear" w:color="auto" w:fill="auto"/>
            <w:vAlign w:val="center"/>
          </w:tcPr>
          <w:p>
            <w:pPr>
              <w:pStyle w:val="69"/>
              <w:spacing w:after="0" w:afterLines="0"/>
              <w:jc w:val="center"/>
              <w:rPr>
                <w:szCs w:val="21"/>
              </w:rPr>
            </w:pPr>
            <w:r>
              <w:rPr>
                <w:rFonts w:hint="eastAsia"/>
                <w:szCs w:val="21"/>
              </w:rPr>
              <w:t>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000000" w:fill="FFFFFF"/>
            <w:vAlign w:val="center"/>
          </w:tcPr>
          <w:p>
            <w:pPr>
              <w:pStyle w:val="69"/>
              <w:spacing w:after="0" w:afterLines="0"/>
              <w:ind w:firstLine="360"/>
              <w:jc w:val="center"/>
              <w:rPr>
                <w:szCs w:val="21"/>
              </w:rPr>
            </w:pPr>
            <w:r>
              <w:rPr>
                <w:rFonts w:hint="eastAsia"/>
                <w:szCs w:val="21"/>
              </w:rPr>
              <w:t>墨角藻（FUCUS VESICULOSUS）提取物</w:t>
            </w:r>
          </w:p>
        </w:tc>
        <w:tc>
          <w:tcPr>
            <w:tcW w:w="3864" w:type="dxa"/>
            <w:shd w:val="clear" w:color="000000" w:fill="FFFFFF"/>
            <w:vAlign w:val="center"/>
          </w:tcPr>
          <w:p>
            <w:pPr>
              <w:pStyle w:val="69"/>
              <w:spacing w:after="0" w:afterLines="0"/>
              <w:ind w:firstLine="360"/>
              <w:jc w:val="center"/>
              <w:rPr>
                <w:szCs w:val="21"/>
              </w:rPr>
            </w:pPr>
            <w:r>
              <w:rPr>
                <w:szCs w:val="21"/>
              </w:rPr>
              <w:t>FUCUS VESICULOSUS EXTRACT</w:t>
            </w:r>
          </w:p>
        </w:tc>
        <w:tc>
          <w:tcPr>
            <w:tcW w:w="1685" w:type="dxa"/>
            <w:shd w:val="clear" w:color="auto" w:fill="auto"/>
            <w:vAlign w:val="center"/>
          </w:tcPr>
          <w:p>
            <w:pPr>
              <w:pStyle w:val="69"/>
              <w:spacing w:after="0" w:afterLines="0"/>
              <w:jc w:val="center"/>
              <w:rPr>
                <w:szCs w:val="21"/>
              </w:rPr>
            </w:pPr>
            <w:r>
              <w:rPr>
                <w:rFonts w:hint="eastAsia"/>
                <w:szCs w:val="21"/>
              </w:rPr>
              <w:t>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000000" w:fill="FFFFFF"/>
            <w:vAlign w:val="center"/>
          </w:tcPr>
          <w:p>
            <w:pPr>
              <w:pStyle w:val="69"/>
              <w:spacing w:after="0" w:afterLines="0"/>
              <w:ind w:firstLine="360"/>
              <w:jc w:val="center"/>
              <w:rPr>
                <w:szCs w:val="21"/>
              </w:rPr>
            </w:pPr>
            <w:r>
              <w:rPr>
                <w:rFonts w:hint="eastAsia"/>
                <w:szCs w:val="21"/>
              </w:rPr>
              <w:t>蜂（Apis mellifera）蜜</w:t>
            </w:r>
          </w:p>
        </w:tc>
        <w:tc>
          <w:tcPr>
            <w:tcW w:w="3864" w:type="dxa"/>
            <w:shd w:val="clear" w:color="000000" w:fill="FFFFFF"/>
            <w:vAlign w:val="center"/>
          </w:tcPr>
          <w:p>
            <w:pPr>
              <w:pStyle w:val="69"/>
              <w:spacing w:after="0" w:afterLines="0"/>
              <w:ind w:firstLine="360"/>
              <w:jc w:val="center"/>
              <w:rPr>
                <w:szCs w:val="21"/>
              </w:rPr>
            </w:pPr>
            <w:r>
              <w:rPr>
                <w:szCs w:val="21"/>
              </w:rPr>
              <w:t>HONEY</w:t>
            </w:r>
          </w:p>
        </w:tc>
        <w:tc>
          <w:tcPr>
            <w:tcW w:w="1685" w:type="dxa"/>
            <w:shd w:val="clear" w:color="auto" w:fill="auto"/>
            <w:vAlign w:val="center"/>
          </w:tcPr>
          <w:p>
            <w:pPr>
              <w:pStyle w:val="69"/>
              <w:spacing w:after="0" w:afterLines="0"/>
              <w:jc w:val="center"/>
              <w:rPr>
                <w:szCs w:val="21"/>
              </w:rPr>
            </w:pPr>
            <w:r>
              <w:rPr>
                <w:rFonts w:hint="eastAsia"/>
                <w:szCs w:val="21"/>
              </w:rPr>
              <w:t>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67" w:type="dxa"/>
            <w:shd w:val="clear" w:color="000000" w:fill="FFFFFF"/>
          </w:tcPr>
          <w:p>
            <w:pPr>
              <w:pStyle w:val="69"/>
              <w:spacing w:after="0" w:afterLines="0"/>
              <w:ind w:firstLine="360"/>
              <w:jc w:val="center"/>
              <w:rPr>
                <w:szCs w:val="21"/>
              </w:rPr>
            </w:pPr>
            <w:r>
              <w:rPr>
                <w:rFonts w:hint="eastAsia"/>
                <w:szCs w:val="21"/>
              </w:rPr>
              <w:t>花生醇</w:t>
            </w:r>
          </w:p>
        </w:tc>
        <w:tc>
          <w:tcPr>
            <w:tcW w:w="3864" w:type="dxa"/>
            <w:shd w:val="clear" w:color="000000" w:fill="FFFFFF"/>
          </w:tcPr>
          <w:p>
            <w:pPr>
              <w:pStyle w:val="69"/>
              <w:spacing w:after="0" w:afterLines="0"/>
              <w:ind w:firstLine="360"/>
              <w:jc w:val="center"/>
              <w:rPr>
                <w:szCs w:val="21"/>
              </w:rPr>
            </w:pPr>
            <w:r>
              <w:rPr>
                <w:szCs w:val="21"/>
              </w:rPr>
              <w:t>ARACHIDYL ALCOHOL</w:t>
            </w:r>
          </w:p>
        </w:tc>
        <w:tc>
          <w:tcPr>
            <w:tcW w:w="1685" w:type="dxa"/>
            <w:shd w:val="clear" w:color="auto" w:fill="auto"/>
            <w:vAlign w:val="center"/>
          </w:tcPr>
          <w:p>
            <w:pPr>
              <w:pStyle w:val="69"/>
              <w:spacing w:after="0" w:afterLines="0"/>
              <w:jc w:val="center"/>
              <w:rPr>
                <w:szCs w:val="21"/>
              </w:rPr>
            </w:pPr>
            <w:r>
              <w:rPr>
                <w:rFonts w:hint="eastAsia"/>
                <w:szCs w:val="21"/>
              </w:rPr>
              <w:t>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4067" w:type="dxa"/>
            <w:shd w:val="clear" w:color="000000" w:fill="FFFFFF"/>
            <w:vAlign w:val="center"/>
          </w:tcPr>
          <w:p>
            <w:pPr>
              <w:pStyle w:val="69"/>
              <w:spacing w:after="0" w:afterLines="0"/>
              <w:ind w:firstLine="360"/>
              <w:jc w:val="center"/>
              <w:rPr>
                <w:szCs w:val="21"/>
              </w:rPr>
            </w:pPr>
            <w:r>
              <w:rPr>
                <w:rFonts w:hint="eastAsia"/>
                <w:szCs w:val="21"/>
              </w:rPr>
              <w:t>氯化镁</w:t>
            </w:r>
          </w:p>
        </w:tc>
        <w:tc>
          <w:tcPr>
            <w:tcW w:w="3864" w:type="dxa"/>
            <w:shd w:val="clear" w:color="000000" w:fill="FFFFFF"/>
            <w:vAlign w:val="center"/>
          </w:tcPr>
          <w:p>
            <w:pPr>
              <w:pStyle w:val="69"/>
              <w:spacing w:after="0" w:afterLines="0"/>
              <w:ind w:firstLine="360"/>
              <w:jc w:val="center"/>
              <w:rPr>
                <w:szCs w:val="21"/>
              </w:rPr>
            </w:pPr>
            <w:r>
              <w:rPr>
                <w:szCs w:val="21"/>
              </w:rPr>
              <w:t>MAGNESIUM CHLORIDE</w:t>
            </w:r>
          </w:p>
        </w:tc>
        <w:tc>
          <w:tcPr>
            <w:tcW w:w="1685" w:type="dxa"/>
            <w:shd w:val="clear" w:color="auto" w:fill="auto"/>
            <w:vAlign w:val="center"/>
          </w:tcPr>
          <w:p>
            <w:pPr>
              <w:pStyle w:val="69"/>
              <w:spacing w:after="0" w:afterLines="0"/>
              <w:jc w:val="center"/>
              <w:rPr>
                <w:szCs w:val="21"/>
              </w:rPr>
            </w:pPr>
            <w:r>
              <w:rPr>
                <w:rFonts w:hint="eastAsia"/>
                <w:szCs w:val="21"/>
              </w:rPr>
              <w:t>0.0001</w:t>
            </w:r>
          </w:p>
        </w:tc>
      </w:tr>
    </w:tbl>
    <w:p>
      <w:pPr>
        <w:spacing w:before="120" w:after="120" w:line="240" w:lineRule="auto"/>
        <w:ind w:firstLine="560"/>
        <w:rPr>
          <w:rFonts w:ascii="黑体" w:hAnsi="黑体" w:eastAsia="黑体"/>
          <w:szCs w:val="28"/>
        </w:rPr>
      </w:pPr>
      <w:bookmarkStart w:id="22" w:name="_Toc18549"/>
      <w:r>
        <w:rPr>
          <w:rFonts w:hint="eastAsia" w:ascii="黑体" w:hAnsi="黑体" w:eastAsia="黑体"/>
          <w:szCs w:val="28"/>
        </w:rPr>
        <w:t>四、</w:t>
      </w:r>
      <w:r>
        <w:rPr>
          <w:rFonts w:ascii="黑体" w:hAnsi="黑体" w:eastAsia="黑体"/>
          <w:szCs w:val="28"/>
        </w:rPr>
        <w:t>配方中各成分</w:t>
      </w:r>
      <w:r>
        <w:rPr>
          <w:rFonts w:hint="eastAsia" w:ascii="黑体" w:hAnsi="黑体" w:eastAsia="黑体"/>
          <w:szCs w:val="28"/>
        </w:rPr>
        <w:t>的</w:t>
      </w:r>
      <w:r>
        <w:rPr>
          <w:rFonts w:ascii="黑体" w:hAnsi="黑体" w:eastAsia="黑体"/>
          <w:szCs w:val="28"/>
        </w:rPr>
        <w:t>安全评估</w:t>
      </w:r>
      <w:bookmarkEnd w:id="22"/>
      <w:r>
        <w:rPr>
          <w:rFonts w:ascii="黑体" w:hAnsi="黑体" w:eastAsia="黑体"/>
          <w:szCs w:val="28"/>
        </w:rPr>
        <w:t xml:space="preserve"> </w:t>
      </w:r>
    </w:p>
    <w:p>
      <w:pPr>
        <w:spacing w:after="120"/>
        <w:ind w:firstLine="422"/>
        <w:rPr>
          <w:rFonts w:ascii="Times New Roman" w:hAnsi="Times New Roman" w:eastAsia="宋体"/>
          <w:sz w:val="21"/>
          <w:szCs w:val="21"/>
        </w:rPr>
      </w:pPr>
      <w:r>
        <w:rPr>
          <w:rFonts w:hint="eastAsia" w:ascii="Times New Roman" w:hAnsi="Times New Roman" w:eastAsia="宋体"/>
          <w:b/>
          <w:bCs/>
          <w:sz w:val="21"/>
          <w:szCs w:val="21"/>
        </w:rPr>
        <w:t>1号原料</w:t>
      </w:r>
      <w:r>
        <w:rPr>
          <w:rFonts w:hint="eastAsia" w:ascii="Times New Roman" w:hAnsi="Times New Roman" w:eastAsia="宋体"/>
          <w:sz w:val="21"/>
          <w:szCs w:val="21"/>
        </w:rPr>
        <w:t>：</w:t>
      </w:r>
      <w:r>
        <w:rPr>
          <w:rFonts w:ascii="Times New Roman" w:hAnsi="Times New Roman" w:eastAsia="宋体"/>
          <w:sz w:val="21"/>
          <w:szCs w:val="21"/>
        </w:rPr>
        <w:t>水，</w:t>
      </w:r>
      <w:r>
        <w:rPr>
          <w:rFonts w:hint="eastAsia" w:ascii="Times New Roman" w:hAnsi="Times New Roman" w:eastAsia="宋体"/>
          <w:sz w:val="21"/>
          <w:szCs w:val="21"/>
        </w:rPr>
        <w:t>本产品所用的水是经过微孔过滤，离子交换，热灭菌等工艺获得的纯化水，无安全性风险问题</w:t>
      </w:r>
      <w:r>
        <w:rPr>
          <w:rFonts w:ascii="Times New Roman" w:hAnsi="Times New Roman" w:eastAsia="宋体"/>
          <w:sz w:val="21"/>
          <w:szCs w:val="21"/>
        </w:rPr>
        <w:t>。</w:t>
      </w:r>
    </w:p>
    <w:p>
      <w:pPr>
        <w:spacing w:after="120"/>
        <w:ind w:firstLine="422"/>
        <w:rPr>
          <w:rFonts w:ascii="Times New Roman" w:hAnsi="Times New Roman" w:eastAsia="宋体" w:cs="Calibri"/>
          <w:sz w:val="21"/>
          <w:szCs w:val="21"/>
        </w:rPr>
      </w:pPr>
      <w:r>
        <w:rPr>
          <w:rFonts w:hint="eastAsia" w:ascii="Times New Roman" w:hAnsi="Times New Roman" w:eastAsia="宋体"/>
          <w:b/>
          <w:bCs/>
          <w:sz w:val="21"/>
          <w:szCs w:val="21"/>
        </w:rPr>
        <w:t>2号原料</w:t>
      </w:r>
      <w:r>
        <w:rPr>
          <w:rFonts w:hint="eastAsia" w:ascii="Times New Roman" w:hAnsi="Times New Roman" w:eastAsia="宋体"/>
          <w:sz w:val="21"/>
          <w:szCs w:val="21"/>
        </w:rPr>
        <w:t>：</w:t>
      </w:r>
      <w:r>
        <w:rPr>
          <w:rFonts w:ascii="Times New Roman" w:hAnsi="Times New Roman" w:eastAsia="宋体"/>
          <w:sz w:val="21"/>
          <w:szCs w:val="21"/>
        </w:rPr>
        <w:t xml:space="preserve">香精，产品中所使用的香精符合IFRA </w:t>
      </w:r>
      <w:r>
        <w:rPr>
          <w:rFonts w:hint="eastAsia" w:ascii="Times New Roman" w:hAnsi="Times New Roman" w:eastAsia="宋体"/>
          <w:sz w:val="21"/>
          <w:szCs w:val="21"/>
        </w:rPr>
        <w:t>证书</w:t>
      </w:r>
      <w:r>
        <w:rPr>
          <w:rFonts w:ascii="Times New Roman" w:hAnsi="Times New Roman" w:eastAsia="宋体"/>
          <w:sz w:val="21"/>
          <w:szCs w:val="21"/>
        </w:rPr>
        <w:t>要求。</w:t>
      </w:r>
    </w:p>
    <w:p>
      <w:pPr>
        <w:spacing w:after="120"/>
        <w:ind w:firstLine="422"/>
        <w:rPr>
          <w:rFonts w:ascii="Times New Roman" w:hAnsi="Times New Roman" w:eastAsia="宋体"/>
          <w:sz w:val="21"/>
          <w:szCs w:val="21"/>
        </w:rPr>
      </w:pPr>
      <w:r>
        <w:rPr>
          <w:rFonts w:ascii="Times New Roman" w:hAnsi="Times New Roman" w:eastAsia="宋体"/>
          <w:b/>
          <w:bCs/>
          <w:sz w:val="21"/>
          <w:szCs w:val="21"/>
        </w:rPr>
        <w:t>3</w:t>
      </w:r>
      <w:r>
        <w:rPr>
          <w:rFonts w:hint="eastAsia" w:ascii="Times New Roman" w:hAnsi="Times New Roman" w:eastAsia="宋体"/>
          <w:b/>
          <w:bCs/>
          <w:sz w:val="21"/>
          <w:szCs w:val="21"/>
        </w:rPr>
        <w:t>号原料</w:t>
      </w:r>
      <w:r>
        <w:rPr>
          <w:rFonts w:hint="eastAsia" w:ascii="Times New Roman" w:hAnsi="Times New Roman" w:eastAsia="宋体"/>
          <w:sz w:val="21"/>
          <w:szCs w:val="21"/>
        </w:rPr>
        <w:t>：水、1,3-丙二醇和墨角藻（FUCUS VESICULOSUS）提取物的混合物。</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水，本产品所用的水是经过微孔过滤，离子交换，热灭菌等工艺获得的纯化水，无安全性风险问题。</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1,3-丙二醇，急性毒性：急性经口毒性试验显示该原料为低毒性；皮肤刺激性：该原料浓度为100%时对皮肤有轻微刺激性；眼刺激性：该原料浓度为100%时无刺激性；皮肤变态反应：该原料浓度为50%时无致敏性；皮肤光毒性：该原料不具有紫外光吸收特性，因此不具有皮肤光毒性；致突变性：该原料无潜在基因突变性或染色体畸变性。系统毒性：经危害特征描述，该原料的未观察到有害作用剂量（NOAEL）为1000mg/kg bw/d；生殖和发育毒性：该原料未观察到生殖和发育毒性</w:t>
      </w:r>
      <w:r>
        <w:rPr>
          <w:rFonts w:ascii="Times New Roman" w:hAnsi="Times New Roman" w:eastAsia="宋体"/>
          <w:sz w:val="21"/>
          <w:szCs w:val="21"/>
          <w:vertAlign w:val="superscript"/>
        </w:rPr>
        <w:t>[1,2]</w:t>
      </w:r>
      <w:r>
        <w:rPr>
          <w:rFonts w:hint="eastAsia" w:ascii="Times New Roman" w:hAnsi="Times New Roman" w:eastAsia="宋体"/>
          <w:sz w:val="21"/>
          <w:szCs w:val="21"/>
        </w:rPr>
        <w:t>。暴露剂量（SED）=1.3mg/kg bw/d，经计算安全边际MoS=1000/1.3=769&gt;100，原料在本产品中应用风险在可接受范围之内。</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墨角藻（FUCUS VESICULOSUS）提取物，CIR评估结果显示，浓度不高于5%时该原料在化妆品中的使用是安全的</w:t>
      </w:r>
      <w:r>
        <w:rPr>
          <w:rFonts w:ascii="Times New Roman" w:hAnsi="Times New Roman" w:eastAsia="宋体"/>
          <w:sz w:val="21"/>
          <w:szCs w:val="21"/>
          <w:vertAlign w:val="superscript"/>
        </w:rPr>
        <w:t>[3]</w:t>
      </w:r>
      <w:r>
        <w:rPr>
          <w:rFonts w:hint="eastAsia" w:ascii="Times New Roman" w:hAnsi="Times New Roman" w:eastAsia="宋体"/>
          <w:sz w:val="21"/>
          <w:szCs w:val="21"/>
        </w:rPr>
        <w:t>，该原料的添加量为0.1000%，在本产品中应用风险在可接受范围之内。</w:t>
      </w:r>
    </w:p>
    <w:p>
      <w:pPr>
        <w:spacing w:after="120"/>
        <w:ind w:firstLine="422"/>
        <w:rPr>
          <w:rFonts w:ascii="Times New Roman" w:hAnsi="Times New Roman" w:eastAsia="宋体"/>
          <w:sz w:val="21"/>
          <w:szCs w:val="21"/>
        </w:rPr>
      </w:pPr>
      <w:r>
        <w:rPr>
          <w:rFonts w:hint="eastAsia" w:ascii="Times New Roman" w:hAnsi="Times New Roman" w:eastAsia="宋体"/>
          <w:b/>
          <w:bCs/>
          <w:sz w:val="21"/>
          <w:szCs w:val="21"/>
        </w:rPr>
        <w:t>4</w:t>
      </w:r>
      <w:r>
        <w:rPr>
          <w:rFonts w:ascii="Times New Roman" w:hAnsi="Times New Roman" w:eastAsia="宋体"/>
          <w:b/>
          <w:bCs/>
          <w:sz w:val="21"/>
          <w:szCs w:val="21"/>
        </w:rPr>
        <w:t>号原料</w:t>
      </w:r>
      <w:r>
        <w:rPr>
          <w:rFonts w:ascii="Times New Roman" w:hAnsi="Times New Roman" w:eastAsia="宋体"/>
          <w:sz w:val="21"/>
          <w:szCs w:val="21"/>
        </w:rPr>
        <w:t>：苯氧乙醇</w:t>
      </w:r>
      <w:r>
        <w:rPr>
          <w:rFonts w:hint="eastAsia" w:ascii="Times New Roman" w:hAnsi="Times New Roman" w:eastAsia="宋体"/>
          <w:sz w:val="21"/>
          <w:szCs w:val="21"/>
        </w:rPr>
        <w:t>，</w:t>
      </w:r>
      <w:r>
        <w:rPr>
          <w:rFonts w:ascii="Times New Roman" w:hAnsi="Times New Roman" w:eastAsia="宋体"/>
          <w:sz w:val="21"/>
          <w:szCs w:val="21"/>
        </w:rPr>
        <w:t>《化妆品安全技术规范》（2015</w:t>
      </w:r>
      <w:r>
        <w:rPr>
          <w:rFonts w:hint="eastAsia" w:ascii="Times New Roman" w:hAnsi="Times New Roman" w:eastAsia="宋体"/>
          <w:sz w:val="21"/>
          <w:szCs w:val="21"/>
        </w:rPr>
        <w:t>年</w:t>
      </w:r>
      <w:r>
        <w:rPr>
          <w:rFonts w:ascii="Times New Roman" w:hAnsi="Times New Roman" w:eastAsia="宋体"/>
          <w:sz w:val="21"/>
          <w:szCs w:val="21"/>
        </w:rPr>
        <w:t>版）表4化妆品组分中准用防腐剂</w:t>
      </w:r>
      <w:r>
        <w:rPr>
          <w:rFonts w:hint="eastAsia" w:ascii="Times New Roman" w:hAnsi="Times New Roman" w:eastAsia="宋体"/>
          <w:sz w:val="21"/>
          <w:szCs w:val="21"/>
        </w:rPr>
        <w:t>规定，苯氧乙醇的限用量为1%</w:t>
      </w:r>
      <w:r>
        <w:rPr>
          <w:rFonts w:ascii="Times New Roman" w:hAnsi="Times New Roman" w:eastAsia="宋体"/>
          <w:sz w:val="21"/>
          <w:szCs w:val="21"/>
          <w:vertAlign w:val="superscript"/>
        </w:rPr>
        <w:t>[4]</w:t>
      </w:r>
      <w:r>
        <w:rPr>
          <w:rFonts w:hint="eastAsia" w:ascii="Times New Roman" w:hAnsi="Times New Roman" w:eastAsia="宋体"/>
          <w:sz w:val="21"/>
          <w:szCs w:val="21"/>
        </w:rPr>
        <w:t>，本配方的添加量为0.5000%，符合要求。该原料在本产品中应用风险在可接受范围之内</w:t>
      </w:r>
      <w:r>
        <w:rPr>
          <w:rFonts w:ascii="Times New Roman" w:hAnsi="Times New Roman" w:eastAsia="宋体"/>
          <w:sz w:val="21"/>
          <w:szCs w:val="21"/>
        </w:rPr>
        <w:t>。</w:t>
      </w:r>
    </w:p>
    <w:p>
      <w:pPr>
        <w:spacing w:after="120"/>
        <w:ind w:firstLine="422"/>
        <w:rPr>
          <w:rFonts w:ascii="Times New Roman" w:hAnsi="Times New Roman" w:eastAsia="宋体"/>
          <w:sz w:val="21"/>
          <w:szCs w:val="21"/>
        </w:rPr>
      </w:pPr>
      <w:r>
        <w:rPr>
          <w:rFonts w:ascii="Times New Roman" w:hAnsi="Times New Roman" w:eastAsia="宋体"/>
          <w:b/>
          <w:bCs/>
          <w:sz w:val="21"/>
          <w:szCs w:val="21"/>
        </w:rPr>
        <w:t>5</w:t>
      </w:r>
      <w:r>
        <w:rPr>
          <w:rFonts w:hint="eastAsia" w:ascii="Times New Roman" w:hAnsi="Times New Roman" w:eastAsia="宋体"/>
          <w:b/>
          <w:bCs/>
          <w:sz w:val="21"/>
          <w:szCs w:val="21"/>
        </w:rPr>
        <w:t>号原料</w:t>
      </w:r>
      <w:r>
        <w:rPr>
          <w:rFonts w:hint="eastAsia" w:ascii="Times New Roman" w:hAnsi="Times New Roman" w:eastAsia="宋体"/>
          <w:sz w:val="21"/>
          <w:szCs w:val="21"/>
        </w:rPr>
        <w:t>：蜂（</w:t>
      </w:r>
      <w:r>
        <w:rPr>
          <w:rFonts w:ascii="Times New Roman" w:hAnsi="Times New Roman" w:eastAsia="宋体"/>
          <w:sz w:val="21"/>
          <w:szCs w:val="21"/>
        </w:rPr>
        <w:t>Apis mellifera</w:t>
      </w:r>
      <w:r>
        <w:rPr>
          <w:rFonts w:hint="eastAsia" w:ascii="Times New Roman" w:hAnsi="Times New Roman" w:eastAsia="宋体"/>
          <w:sz w:val="21"/>
          <w:szCs w:val="21"/>
        </w:rPr>
        <w:t>）蜜，该原料无皮肤刺激性、眼刺激性、皮肤致敏性、皮肤光毒性等局部毒性</w:t>
      </w:r>
      <w:r>
        <w:rPr>
          <w:rFonts w:ascii="Times New Roman" w:hAnsi="Times New Roman" w:eastAsia="宋体"/>
          <w:sz w:val="21"/>
          <w:szCs w:val="21"/>
          <w:vertAlign w:val="superscript"/>
        </w:rPr>
        <w:t>[5,6]</w:t>
      </w:r>
      <w:r>
        <w:rPr>
          <w:rFonts w:hint="eastAsia" w:ascii="Times New Roman" w:hAnsi="Times New Roman" w:eastAsia="宋体"/>
          <w:sz w:val="21"/>
          <w:szCs w:val="21"/>
        </w:rPr>
        <w:t>，且作为食物有悠久食用历史，无系统毒性风险。因此该原料在本产品中的应用风险在可接受范围内。</w:t>
      </w:r>
    </w:p>
    <w:p>
      <w:pPr>
        <w:spacing w:after="120"/>
        <w:ind w:firstLine="422"/>
        <w:rPr>
          <w:rFonts w:ascii="Times New Roman" w:hAnsi="Times New Roman" w:eastAsia="宋体"/>
          <w:sz w:val="21"/>
          <w:szCs w:val="21"/>
        </w:rPr>
      </w:pPr>
      <w:r>
        <w:rPr>
          <w:rFonts w:ascii="Times New Roman" w:hAnsi="Times New Roman" w:eastAsia="宋体"/>
          <w:b/>
          <w:bCs/>
          <w:sz w:val="21"/>
          <w:szCs w:val="21"/>
        </w:rPr>
        <w:t>6</w:t>
      </w:r>
      <w:r>
        <w:rPr>
          <w:rFonts w:hint="eastAsia" w:ascii="Times New Roman" w:hAnsi="Times New Roman" w:eastAsia="宋体"/>
          <w:b/>
          <w:bCs/>
          <w:sz w:val="21"/>
          <w:szCs w:val="21"/>
        </w:rPr>
        <w:t>号原料</w:t>
      </w:r>
      <w:r>
        <w:rPr>
          <w:rFonts w:hint="eastAsia" w:ascii="Times New Roman" w:hAnsi="Times New Roman" w:eastAsia="宋体"/>
          <w:sz w:val="21"/>
          <w:szCs w:val="21"/>
        </w:rPr>
        <w:t>：花生醇，为</w:t>
      </w:r>
      <w:r>
        <w:rPr>
          <w:rFonts w:ascii="Times New Roman" w:hAnsi="Times New Roman" w:eastAsia="宋体"/>
          <w:sz w:val="21"/>
          <w:szCs w:val="21"/>
        </w:rPr>
        <w:t>1-</w:t>
      </w:r>
      <w:r>
        <w:rPr>
          <w:rFonts w:hint="eastAsia" w:ascii="Times New Roman" w:hAnsi="Times New Roman" w:eastAsia="宋体"/>
          <w:sz w:val="21"/>
          <w:szCs w:val="21"/>
        </w:rPr>
        <w:t>二十烷醇，属于直链长链饱和脂肪醇。直链长链饱和脂肪醇类物质的通用分子结构式为</w:t>
      </w:r>
      <w:r>
        <w:rPr>
          <w:rFonts w:ascii="Times New Roman" w:hAnsi="Times New Roman" w:eastAsia="宋体"/>
          <w:sz w:val="21"/>
          <w:szCs w:val="21"/>
        </w:rPr>
        <w:t>CnH2n+2O</w:t>
      </w:r>
      <w:r>
        <w:rPr>
          <w:rFonts w:hint="eastAsia" w:ascii="Times New Roman" w:hAnsi="Times New Roman" w:eastAsia="宋体"/>
          <w:sz w:val="21"/>
          <w:szCs w:val="21"/>
        </w:rPr>
        <w:t>，该类物质都具有直链碳链结构，且都具有末端醇羟基作为关键官能团，化学结构的区别是碳链长短的不同。因此，花生醇和具有近似碳链长度的饱和脂肪醇（如</w:t>
      </w:r>
      <w:r>
        <w:rPr>
          <w:rFonts w:ascii="Times New Roman" w:hAnsi="Times New Roman" w:eastAsia="宋体"/>
          <w:sz w:val="21"/>
          <w:szCs w:val="21"/>
        </w:rPr>
        <w:t>1-</w:t>
      </w:r>
      <w:r>
        <w:rPr>
          <w:rFonts w:hint="eastAsia" w:ascii="Times New Roman" w:hAnsi="Times New Roman" w:eastAsia="宋体"/>
          <w:sz w:val="21"/>
          <w:szCs w:val="21"/>
        </w:rPr>
        <w:t>十八醇、</w:t>
      </w:r>
      <w:r>
        <w:rPr>
          <w:rFonts w:ascii="Times New Roman" w:hAnsi="Times New Roman" w:eastAsia="宋体"/>
          <w:sz w:val="21"/>
          <w:szCs w:val="21"/>
        </w:rPr>
        <w:t>1-</w:t>
      </w:r>
      <w:r>
        <w:rPr>
          <w:rFonts w:hint="eastAsia" w:ascii="Times New Roman" w:hAnsi="Times New Roman" w:eastAsia="宋体"/>
          <w:sz w:val="21"/>
          <w:szCs w:val="21"/>
        </w:rPr>
        <w:t>二十二醇）在理化性质、危害描述、危害特征描述等上的数据可以相互参考。</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花生醇的毒理学终点：急性毒性：急性经口毒性试验显示该原料为实际无毒性。急性经皮毒性试验显示该原料为微毒性。皮肤刺激性：根据原料供应商提供的毒理学安全数据，浓度为</w:t>
      </w:r>
      <w:r>
        <w:rPr>
          <w:rFonts w:ascii="Times New Roman" w:hAnsi="Times New Roman" w:eastAsia="宋体"/>
          <w:sz w:val="21"/>
          <w:szCs w:val="21"/>
        </w:rPr>
        <w:t>50%</w:t>
      </w:r>
      <w:r>
        <w:rPr>
          <w:rFonts w:hint="eastAsia" w:ascii="Times New Roman" w:hAnsi="Times New Roman" w:eastAsia="宋体"/>
          <w:sz w:val="21"/>
          <w:szCs w:val="21"/>
        </w:rPr>
        <w:t>时，该原料对皮肤无刺激性。眼刺激性：根据原料供应商提供的毒理学安全数据，浓度为</w:t>
      </w:r>
      <w:r>
        <w:rPr>
          <w:rFonts w:ascii="Times New Roman" w:hAnsi="Times New Roman" w:eastAsia="宋体"/>
          <w:sz w:val="21"/>
          <w:szCs w:val="21"/>
        </w:rPr>
        <w:t>50%</w:t>
      </w:r>
      <w:r>
        <w:rPr>
          <w:rFonts w:hint="eastAsia" w:ascii="Times New Roman" w:hAnsi="Times New Roman" w:eastAsia="宋体"/>
          <w:sz w:val="21"/>
          <w:szCs w:val="21"/>
        </w:rPr>
        <w:t>时该原料对眼睛无刺激性。皮肤变态反应：该原料无致敏性。皮肤光毒性：该原料无皮肤光毒性。致突变性：无潜在基因突变性或染色体畸变性。系统毒性：经过危害特征描述，该原料的未观测到有害作用的剂量水平（</w:t>
      </w:r>
      <w:r>
        <w:rPr>
          <w:rFonts w:ascii="Times New Roman" w:hAnsi="Times New Roman" w:eastAsia="宋体"/>
          <w:sz w:val="21"/>
          <w:szCs w:val="21"/>
        </w:rPr>
        <w:t>NOAEL</w:t>
      </w:r>
      <w:r>
        <w:rPr>
          <w:rFonts w:hint="eastAsia" w:ascii="Times New Roman" w:hAnsi="Times New Roman" w:eastAsia="宋体"/>
          <w:sz w:val="21"/>
          <w:szCs w:val="21"/>
        </w:rPr>
        <w:t>）为</w:t>
      </w:r>
      <w:r>
        <w:rPr>
          <w:rFonts w:ascii="Times New Roman" w:hAnsi="Times New Roman" w:eastAsia="宋体"/>
          <w:sz w:val="21"/>
          <w:szCs w:val="21"/>
        </w:rPr>
        <w:t xml:space="preserve"> 1000 mg/kg bw/day</w:t>
      </w:r>
      <w:r>
        <w:rPr>
          <w:rFonts w:hint="eastAsia" w:ascii="Times New Roman" w:hAnsi="Times New Roman" w:eastAsia="宋体"/>
          <w:sz w:val="21"/>
          <w:szCs w:val="21"/>
        </w:rPr>
        <w:t>。生殖和发育毒性：该原料的交叉参考物</w:t>
      </w:r>
      <w:r>
        <w:rPr>
          <w:rFonts w:ascii="Times New Roman" w:hAnsi="Times New Roman" w:eastAsia="宋体"/>
          <w:sz w:val="21"/>
          <w:szCs w:val="21"/>
        </w:rPr>
        <w:t>1-</w:t>
      </w:r>
      <w:r>
        <w:rPr>
          <w:rFonts w:hint="eastAsia" w:ascii="Times New Roman" w:hAnsi="Times New Roman" w:eastAsia="宋体"/>
          <w:sz w:val="21"/>
          <w:szCs w:val="21"/>
        </w:rPr>
        <w:t>二十二醇在重复剂量毒性</w:t>
      </w:r>
      <w:r>
        <w:rPr>
          <w:rFonts w:ascii="Times New Roman" w:hAnsi="Times New Roman" w:eastAsia="宋体"/>
          <w:sz w:val="21"/>
          <w:szCs w:val="21"/>
        </w:rPr>
        <w:t>/</w:t>
      </w:r>
      <w:r>
        <w:rPr>
          <w:rFonts w:hint="eastAsia" w:ascii="Times New Roman" w:hAnsi="Times New Roman" w:eastAsia="宋体"/>
          <w:sz w:val="21"/>
          <w:szCs w:val="21"/>
        </w:rPr>
        <w:t>生殖和发育毒性试验中未观测到发育和生殖毒性反应，其</w:t>
      </w:r>
      <w:r>
        <w:rPr>
          <w:rFonts w:ascii="Times New Roman" w:hAnsi="Times New Roman" w:eastAsia="宋体"/>
          <w:sz w:val="21"/>
          <w:szCs w:val="21"/>
        </w:rPr>
        <w:t>NOAEL</w:t>
      </w:r>
      <w:r>
        <w:rPr>
          <w:rFonts w:hint="eastAsia" w:ascii="Times New Roman" w:hAnsi="Times New Roman" w:eastAsia="宋体"/>
          <w:sz w:val="21"/>
          <w:szCs w:val="21"/>
        </w:rPr>
        <w:t>为</w:t>
      </w:r>
      <w:r>
        <w:rPr>
          <w:rFonts w:ascii="Times New Roman" w:hAnsi="Times New Roman" w:eastAsia="宋体"/>
          <w:sz w:val="21"/>
          <w:szCs w:val="21"/>
        </w:rPr>
        <w:t xml:space="preserve"> 1000 mg/kg bw/day</w:t>
      </w:r>
      <w:r>
        <w:rPr>
          <w:rFonts w:hint="eastAsia" w:ascii="Times New Roman" w:hAnsi="Times New Roman" w:eastAsia="宋体"/>
          <w:sz w:val="21"/>
          <w:szCs w:val="21"/>
        </w:rPr>
        <w:t>。另一交叉参考物</w:t>
      </w:r>
      <w:r>
        <w:rPr>
          <w:rFonts w:ascii="Times New Roman" w:hAnsi="Times New Roman" w:eastAsia="宋体"/>
          <w:sz w:val="21"/>
          <w:szCs w:val="21"/>
        </w:rPr>
        <w:t>1-</w:t>
      </w:r>
      <w:r>
        <w:rPr>
          <w:rFonts w:hint="eastAsia" w:ascii="Times New Roman" w:hAnsi="Times New Roman" w:eastAsia="宋体"/>
          <w:sz w:val="21"/>
          <w:szCs w:val="21"/>
        </w:rPr>
        <w:t>十八醇在生殖和发育毒性试验中也未观测到发育和生殖毒性反应，其</w:t>
      </w:r>
      <w:r>
        <w:rPr>
          <w:rFonts w:ascii="Times New Roman" w:hAnsi="Times New Roman" w:eastAsia="宋体"/>
          <w:sz w:val="21"/>
          <w:szCs w:val="21"/>
        </w:rPr>
        <w:t>NOAEL</w:t>
      </w:r>
      <w:r>
        <w:rPr>
          <w:rFonts w:hint="eastAsia" w:ascii="Times New Roman" w:hAnsi="Times New Roman" w:eastAsia="宋体"/>
          <w:sz w:val="21"/>
          <w:szCs w:val="21"/>
        </w:rPr>
        <w:t>为</w:t>
      </w:r>
      <w:r>
        <w:rPr>
          <w:rFonts w:ascii="Times New Roman" w:hAnsi="Times New Roman" w:eastAsia="宋体"/>
          <w:sz w:val="21"/>
          <w:szCs w:val="21"/>
        </w:rPr>
        <w:t xml:space="preserve"> 2000 mg/kg bw/day</w:t>
      </w:r>
      <w:r>
        <w:rPr>
          <w:rFonts w:hint="eastAsia" w:ascii="Times New Roman" w:hAnsi="Times New Roman" w:eastAsia="宋体"/>
          <w:sz w:val="21"/>
          <w:szCs w:val="21"/>
        </w:rPr>
        <w:t>。鉴于化学结构的相似性，花生醇（</w:t>
      </w:r>
      <w:r>
        <w:rPr>
          <w:rFonts w:ascii="Times New Roman" w:hAnsi="Times New Roman" w:eastAsia="宋体"/>
          <w:sz w:val="21"/>
          <w:szCs w:val="21"/>
        </w:rPr>
        <w:t>C=20</w:t>
      </w:r>
      <w:r>
        <w:rPr>
          <w:rFonts w:hint="eastAsia" w:ascii="Times New Roman" w:hAnsi="Times New Roman" w:eastAsia="宋体"/>
          <w:sz w:val="21"/>
          <w:szCs w:val="21"/>
        </w:rPr>
        <w:t>）的生殖和发育毒性应与</w:t>
      </w:r>
      <w:r>
        <w:rPr>
          <w:rFonts w:ascii="Times New Roman" w:hAnsi="Times New Roman" w:eastAsia="宋体"/>
          <w:sz w:val="21"/>
          <w:szCs w:val="21"/>
        </w:rPr>
        <w:t>1-</w:t>
      </w:r>
      <w:r>
        <w:rPr>
          <w:rFonts w:hint="eastAsia" w:ascii="Times New Roman" w:hAnsi="Times New Roman" w:eastAsia="宋体"/>
          <w:sz w:val="21"/>
          <w:szCs w:val="21"/>
        </w:rPr>
        <w:t>二十二醇和</w:t>
      </w:r>
      <w:r>
        <w:rPr>
          <w:rFonts w:ascii="Times New Roman" w:hAnsi="Times New Roman" w:eastAsia="宋体"/>
          <w:sz w:val="21"/>
          <w:szCs w:val="21"/>
        </w:rPr>
        <w:t>1-</w:t>
      </w:r>
      <w:r>
        <w:rPr>
          <w:rFonts w:hint="eastAsia" w:ascii="Times New Roman" w:hAnsi="Times New Roman" w:eastAsia="宋体"/>
          <w:sz w:val="21"/>
          <w:szCs w:val="21"/>
        </w:rPr>
        <w:t>十八醇相近。此外，据研究表明，直链饱和脂肪醇的经皮、经口吸收率与碳链长度直接相关。当碳链长度大于</w:t>
      </w:r>
      <w:r>
        <w:rPr>
          <w:rFonts w:ascii="Times New Roman" w:hAnsi="Times New Roman" w:eastAsia="宋体"/>
          <w:sz w:val="21"/>
          <w:szCs w:val="21"/>
        </w:rPr>
        <w:t>7</w:t>
      </w:r>
      <w:r>
        <w:rPr>
          <w:rFonts w:hint="eastAsia" w:ascii="Times New Roman" w:hAnsi="Times New Roman" w:eastAsia="宋体"/>
          <w:sz w:val="21"/>
          <w:szCs w:val="21"/>
        </w:rPr>
        <w:t>时，饱和脂肪醇的经皮、经口吸收率随碳链长度的增加而下降。因此，花生醇的生殖和发育毒性应不高于其交叉参照物的生殖发育毒性，基于保守原则，</w:t>
      </w:r>
      <w:r>
        <w:rPr>
          <w:rFonts w:ascii="Times New Roman" w:hAnsi="Times New Roman" w:eastAsia="宋体"/>
          <w:sz w:val="21"/>
          <w:szCs w:val="21"/>
        </w:rPr>
        <w:t>NOAEL</w:t>
      </w:r>
      <w:r>
        <w:rPr>
          <w:rFonts w:hint="eastAsia" w:ascii="Times New Roman" w:hAnsi="Times New Roman" w:eastAsia="宋体"/>
          <w:sz w:val="21"/>
          <w:szCs w:val="21"/>
        </w:rPr>
        <w:t>选取</w:t>
      </w:r>
      <w:r>
        <w:rPr>
          <w:rFonts w:ascii="Times New Roman" w:hAnsi="Times New Roman" w:eastAsia="宋体"/>
          <w:sz w:val="21"/>
          <w:szCs w:val="21"/>
        </w:rPr>
        <w:t>1000 mg/kg bw/day</w:t>
      </w:r>
      <w:r>
        <w:rPr>
          <w:rFonts w:ascii="Times New Roman" w:hAnsi="Times New Roman" w:eastAsia="宋体"/>
          <w:sz w:val="21"/>
          <w:szCs w:val="21"/>
          <w:vertAlign w:val="superscript"/>
        </w:rPr>
        <w:t>[7-9]</w:t>
      </w:r>
      <w:r>
        <w:rPr>
          <w:rFonts w:hint="eastAsia" w:ascii="Times New Roman" w:hAnsi="Times New Roman" w:eastAsia="宋体"/>
          <w:sz w:val="21"/>
          <w:szCs w:val="21"/>
        </w:rPr>
        <w:t>。安全评估用</w:t>
      </w:r>
      <w:r>
        <w:rPr>
          <w:rFonts w:ascii="Times New Roman" w:hAnsi="Times New Roman" w:eastAsia="宋体"/>
          <w:sz w:val="21"/>
          <w:szCs w:val="21"/>
        </w:rPr>
        <w:t>NOAEL</w:t>
      </w:r>
      <w:r>
        <w:rPr>
          <w:rFonts w:hint="eastAsia" w:ascii="Times New Roman" w:hAnsi="Times New Roman" w:eastAsia="宋体"/>
          <w:sz w:val="21"/>
          <w:szCs w:val="21"/>
        </w:rPr>
        <w:t>的选择：选取经口重复染毒试验资料的</w:t>
      </w:r>
      <w:r>
        <w:rPr>
          <w:rFonts w:ascii="Times New Roman" w:hAnsi="Times New Roman" w:eastAsia="宋体"/>
          <w:sz w:val="21"/>
          <w:szCs w:val="21"/>
        </w:rPr>
        <w:t>NOAEL 1000 mg/kg/day</w:t>
      </w:r>
      <w:r>
        <w:rPr>
          <w:rFonts w:hint="eastAsia" w:ascii="Times New Roman" w:hAnsi="Times New Roman" w:eastAsia="宋体"/>
          <w:sz w:val="21"/>
          <w:szCs w:val="21"/>
        </w:rPr>
        <w:t>用以计算安全边际。暴露剂量=7.82*1000*0.006*1*1/（60*100）=0.00782mg/kg/d。安全边际MoS = 1000/0.00782=127877&gt; 100。该原料在本产品中的应用风险在可接受范围内。</w:t>
      </w:r>
    </w:p>
    <w:p>
      <w:pPr>
        <w:spacing w:after="120"/>
        <w:ind w:firstLine="422"/>
        <w:rPr>
          <w:rFonts w:ascii="Times New Roman" w:hAnsi="Times New Roman" w:eastAsia="宋体"/>
          <w:sz w:val="21"/>
          <w:szCs w:val="21"/>
        </w:rPr>
      </w:pPr>
      <w:r>
        <w:rPr>
          <w:rFonts w:ascii="Times New Roman" w:hAnsi="Times New Roman" w:eastAsia="宋体"/>
          <w:b/>
          <w:bCs/>
          <w:sz w:val="21"/>
          <w:szCs w:val="21"/>
        </w:rPr>
        <w:t>7</w:t>
      </w:r>
      <w:r>
        <w:rPr>
          <w:rFonts w:hint="eastAsia" w:ascii="Times New Roman" w:hAnsi="Times New Roman" w:eastAsia="宋体"/>
          <w:b/>
          <w:bCs/>
          <w:sz w:val="21"/>
          <w:szCs w:val="21"/>
        </w:rPr>
        <w:t>号原料</w:t>
      </w:r>
      <w:r>
        <w:rPr>
          <w:rFonts w:hint="eastAsia" w:ascii="Times New Roman" w:hAnsi="Times New Roman" w:eastAsia="宋体"/>
          <w:sz w:val="21"/>
          <w:szCs w:val="21"/>
        </w:rPr>
        <w:t>：氯化镁，急性毒性：急性经皮毒性试验显示氯化镁为低毒性；皮肤刺激性：该原料浓度为10.000%时对皮肤无刺激性；眼刺激性：该原料浓度为10.000%时，对眼睛无刺激性；皮肤变态反应：该原料无致敏性；皮肤光毒性：目前已有数据未发现该原料具有光毒性；致突变性：该原料无潜在的基因突变性或染色体畸变性；系统毒性：该原料在配方中的浓度为0.0001%，经计算，暴露量为7.82µg/d，根据现有数据，该原料无遗传毒性，可归为Cramer III类物质，由于其暴露量低于Cramer分类中无基因毒性的类别中要求最严格的Cramer III类物质的TTC值（90 µg/day），可忽略其潜在系统毒性。该原料在本产品中应用风险在可接受范围之内。</w:t>
      </w:r>
    </w:p>
    <w:p>
      <w:pPr>
        <w:spacing w:before="120" w:after="120" w:line="240" w:lineRule="auto"/>
        <w:ind w:firstLine="560"/>
        <w:rPr>
          <w:rFonts w:ascii="黑体" w:hAnsi="黑体" w:eastAsia="黑体"/>
          <w:szCs w:val="28"/>
        </w:rPr>
      </w:pPr>
      <w:bookmarkStart w:id="23" w:name="_Toc362852034"/>
      <w:bookmarkStart w:id="24" w:name="_Toc3290"/>
      <w:r>
        <w:rPr>
          <w:rFonts w:hint="eastAsia" w:ascii="黑体" w:hAnsi="黑体" w:eastAsia="黑体"/>
          <w:szCs w:val="28"/>
        </w:rPr>
        <w:t>五、</w:t>
      </w:r>
      <w:r>
        <w:rPr>
          <w:rFonts w:ascii="黑体" w:hAnsi="黑体" w:eastAsia="黑体"/>
          <w:szCs w:val="28"/>
        </w:rPr>
        <w:t>可能存在的风险物质</w:t>
      </w:r>
      <w:r>
        <w:rPr>
          <w:rFonts w:hint="eastAsia" w:ascii="黑体" w:hAnsi="黑体" w:eastAsia="黑体"/>
          <w:szCs w:val="28"/>
        </w:rPr>
        <w:t>的安全</w:t>
      </w:r>
      <w:r>
        <w:rPr>
          <w:rFonts w:ascii="黑体" w:hAnsi="黑体" w:eastAsia="黑体"/>
          <w:szCs w:val="28"/>
        </w:rPr>
        <w:t>评估</w:t>
      </w:r>
      <w:bookmarkEnd w:id="23"/>
      <w:bookmarkEnd w:id="24"/>
    </w:p>
    <w:p>
      <w:pPr>
        <w:spacing w:after="120"/>
        <w:ind w:firstLine="420"/>
        <w:rPr>
          <w:rFonts w:ascii="Times New Roman" w:hAnsi="Times New Roman" w:eastAsia="宋体"/>
          <w:sz w:val="21"/>
          <w:szCs w:val="21"/>
        </w:rPr>
      </w:pPr>
      <w:bookmarkStart w:id="25" w:name="RANGE!A1:D107"/>
      <w:r>
        <w:rPr>
          <w:rFonts w:ascii="Times New Roman" w:hAnsi="Times New Roman" w:eastAsia="宋体"/>
          <w:sz w:val="21"/>
          <w:szCs w:val="21"/>
        </w:rPr>
        <w:t>本产品按照《化妆品安全评估技术导则》的要求，基于当前科学认知水平，对可能由化妆品原料带入、生产过程中产生或带入的风险物质进行了危害识别分析，分析结果表明：</w:t>
      </w:r>
    </w:p>
    <w:p>
      <w:pPr>
        <w:spacing w:after="120"/>
        <w:ind w:firstLine="420"/>
        <w:rPr>
          <w:rFonts w:ascii="Times New Roman" w:hAnsi="Times New Roman" w:eastAsia="宋体"/>
          <w:sz w:val="21"/>
          <w:szCs w:val="21"/>
        </w:rPr>
      </w:pPr>
      <w:r>
        <w:rPr>
          <w:rFonts w:ascii="Times New Roman" w:hAnsi="Times New Roman" w:eastAsia="宋体"/>
          <w:sz w:val="21"/>
          <w:szCs w:val="21"/>
        </w:rPr>
        <w:t>该产品生产过程遵从良好生产规范实践，整个生产过程中未带入或产生其它安全性风险物质。</w:t>
      </w:r>
    </w:p>
    <w:p>
      <w:pPr>
        <w:spacing w:after="120"/>
        <w:ind w:firstLine="420"/>
        <w:rPr>
          <w:rFonts w:ascii="Times New Roman" w:hAnsi="Times New Roman" w:eastAsia="宋体"/>
          <w:sz w:val="21"/>
          <w:szCs w:val="21"/>
        </w:rPr>
      </w:pPr>
      <w:r>
        <w:rPr>
          <w:rFonts w:ascii="Times New Roman" w:hAnsi="Times New Roman" w:eastAsia="宋体"/>
          <w:sz w:val="21"/>
          <w:szCs w:val="21"/>
        </w:rPr>
        <w:t>产品中可能存在的安全性风险物质是技术上无法避免、由原料带入的杂质。残留的微量杂质在正常合理使用条件下不会对人体健康造成危害。</w:t>
      </w:r>
    </w:p>
    <w:p>
      <w:pPr>
        <w:spacing w:after="120"/>
        <w:ind w:firstLine="420"/>
        <w:rPr>
          <w:rFonts w:ascii="Times New Roman" w:hAnsi="Times New Roman" w:eastAsia="宋体"/>
          <w:sz w:val="21"/>
          <w:szCs w:val="21"/>
        </w:rPr>
      </w:pPr>
      <w:r>
        <w:rPr>
          <w:rFonts w:ascii="Times New Roman" w:hAnsi="Times New Roman" w:eastAsia="宋体"/>
          <w:sz w:val="21"/>
          <w:szCs w:val="21"/>
        </w:rPr>
        <w:t>我公司保证该产品的风险评估真实，科学，如有不实之处，本企业承担相应的法律责任，对由此造成的一切后果负责。</w:t>
      </w:r>
    </w:p>
    <w:bookmarkEnd w:id="25"/>
    <w:p>
      <w:pPr>
        <w:pStyle w:val="70"/>
        <w:spacing w:before="120" w:after="120"/>
        <w:rPr>
          <w:rFonts w:eastAsia="宋体"/>
          <w:szCs w:val="21"/>
        </w:rPr>
      </w:pPr>
    </w:p>
    <w:p>
      <w:pPr>
        <w:pStyle w:val="70"/>
        <w:spacing w:before="120" w:after="120"/>
        <w:rPr>
          <w:rFonts w:eastAsia="宋体"/>
          <w:b/>
          <w:szCs w:val="21"/>
        </w:rPr>
      </w:pPr>
      <w:r>
        <w:rPr>
          <w:rFonts w:eastAsia="宋体"/>
          <w:b/>
          <w:szCs w:val="21"/>
        </w:rPr>
        <w:t>表3 安全性风险物质危害识别表</w:t>
      </w:r>
    </w:p>
    <w:tbl>
      <w:tblPr>
        <w:tblStyle w:val="29"/>
        <w:tblW w:w="87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6" w:type="dxa"/>
            <w:vAlign w:val="center"/>
          </w:tcPr>
          <w:p>
            <w:pPr>
              <w:pStyle w:val="69"/>
              <w:spacing w:after="0" w:afterLines="0"/>
              <w:ind w:firstLine="360"/>
              <w:jc w:val="center"/>
              <w:rPr>
                <w:rFonts w:ascii="宋体" w:hAnsi="宋体" w:cs="Times New Roman"/>
                <w:b/>
                <w:szCs w:val="21"/>
              </w:rPr>
            </w:pPr>
            <w:r>
              <w:rPr>
                <w:rFonts w:ascii="宋体" w:hAnsi="宋体" w:cs="Times New Roman"/>
                <w:b/>
                <w:szCs w:val="21"/>
              </w:rPr>
              <w:t>标准中文名称</w:t>
            </w:r>
          </w:p>
        </w:tc>
        <w:tc>
          <w:tcPr>
            <w:tcW w:w="1843" w:type="dxa"/>
            <w:vAlign w:val="center"/>
          </w:tcPr>
          <w:p>
            <w:pPr>
              <w:pStyle w:val="69"/>
              <w:spacing w:after="0" w:afterLines="0"/>
              <w:ind w:firstLine="360"/>
              <w:jc w:val="center"/>
              <w:rPr>
                <w:rFonts w:ascii="宋体" w:hAnsi="宋体" w:cs="Times New Roman"/>
                <w:b/>
                <w:szCs w:val="21"/>
              </w:rPr>
            </w:pPr>
            <w:r>
              <w:rPr>
                <w:rFonts w:ascii="宋体" w:hAnsi="宋体" w:cs="Times New Roman"/>
                <w:b/>
                <w:szCs w:val="21"/>
              </w:rPr>
              <w:t>可能含有的风险物质</w:t>
            </w:r>
          </w:p>
        </w:tc>
        <w:tc>
          <w:tcPr>
            <w:tcW w:w="4536" w:type="dxa"/>
            <w:vAlign w:val="center"/>
          </w:tcPr>
          <w:p>
            <w:pPr>
              <w:pStyle w:val="69"/>
              <w:spacing w:after="0" w:afterLines="0"/>
              <w:ind w:firstLine="360"/>
              <w:jc w:val="center"/>
              <w:rPr>
                <w:rFonts w:ascii="宋体" w:hAnsi="宋体" w:cs="Times New Roman"/>
                <w:b/>
                <w:szCs w:val="21"/>
              </w:rPr>
            </w:pPr>
            <w:r>
              <w:rPr>
                <w:rFonts w:ascii="宋体" w:hAnsi="宋体" w:cs="Times New Roman"/>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水</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无</w:t>
            </w:r>
          </w:p>
        </w:tc>
        <w:tc>
          <w:tcPr>
            <w:tcW w:w="4536" w:type="dxa"/>
            <w:vAlign w:val="center"/>
          </w:tcPr>
          <w:p>
            <w:pPr>
              <w:pStyle w:val="69"/>
              <w:spacing w:after="0" w:afterLines="0"/>
              <w:ind w:firstLine="360"/>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香精</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无</w:t>
            </w:r>
          </w:p>
        </w:tc>
        <w:tc>
          <w:tcPr>
            <w:tcW w:w="4536" w:type="dxa"/>
            <w:vAlign w:val="center"/>
          </w:tcPr>
          <w:p>
            <w:pPr>
              <w:pStyle w:val="69"/>
              <w:spacing w:after="0" w:afterLines="0"/>
              <w:ind w:firstLine="360"/>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1,3-丙二醇</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二甘醇</w:t>
            </w:r>
          </w:p>
        </w:tc>
        <w:tc>
          <w:tcPr>
            <w:tcW w:w="4536" w:type="dxa"/>
            <w:vAlign w:val="center"/>
          </w:tcPr>
          <w:p>
            <w:pPr>
              <w:pStyle w:val="69"/>
              <w:spacing w:after="0" w:afterLines="0"/>
              <w:ind w:firstLine="360"/>
              <w:jc w:val="both"/>
              <w:rPr>
                <w:rFonts w:ascii="宋体" w:hAnsi="宋体"/>
                <w:szCs w:val="21"/>
              </w:rPr>
            </w:pPr>
            <w:r>
              <w:rPr>
                <w:rFonts w:hint="eastAsia" w:ascii="宋体" w:hAnsi="宋体"/>
                <w:szCs w:val="21"/>
              </w:rPr>
              <w:t>欧洲消费者安全科学委员会（SCCS）关于二甘醇杂质的意见中，浓度不超过0.1%时，其在化妆品中的存在是安全的。</w:t>
            </w:r>
          </w:p>
          <w:p>
            <w:pPr>
              <w:pStyle w:val="69"/>
              <w:spacing w:after="0" w:afterLines="0"/>
              <w:ind w:firstLine="360"/>
              <w:jc w:val="both"/>
              <w:rPr>
                <w:rFonts w:ascii="宋体" w:hAnsi="宋体"/>
                <w:szCs w:val="21"/>
              </w:rPr>
            </w:pPr>
            <w:r>
              <w:rPr>
                <w:rFonts w:hint="eastAsia" w:ascii="宋体" w:hAnsi="宋体"/>
                <w:szCs w:val="21"/>
              </w:rPr>
              <w:t>终产品二甘醇的检验报告附后。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苯氧乙醇</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苯酚</w:t>
            </w:r>
          </w:p>
        </w:tc>
        <w:tc>
          <w:tcPr>
            <w:tcW w:w="4536" w:type="dxa"/>
            <w:vAlign w:val="center"/>
          </w:tcPr>
          <w:p>
            <w:pPr>
              <w:pStyle w:val="69"/>
              <w:spacing w:after="0" w:afterLines="0"/>
              <w:ind w:firstLine="360"/>
              <w:jc w:val="both"/>
              <w:rPr>
                <w:rFonts w:ascii="宋体" w:hAnsi="宋体"/>
                <w:szCs w:val="21"/>
              </w:rPr>
            </w:pPr>
            <w:r>
              <w:rPr>
                <w:rFonts w:hint="eastAsia" w:ascii="宋体" w:hAnsi="宋体"/>
                <w:szCs w:val="21"/>
              </w:rPr>
              <w:t>苯酚：根据日本化妆品标准允许使用的防腐剂中，苯酚在化妆品中的限量为0.1g/100g，本产品中苯酚含量为0.002g/100g，因此，本原料不具有安全性风险，不会对人体健康造成潜在的危害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墨角藻（FUCUS VESICULOSUS）提取物</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无</w:t>
            </w:r>
          </w:p>
        </w:tc>
        <w:tc>
          <w:tcPr>
            <w:tcW w:w="4536" w:type="dxa"/>
            <w:vAlign w:val="center"/>
          </w:tcPr>
          <w:p>
            <w:pPr>
              <w:pStyle w:val="69"/>
              <w:spacing w:after="0" w:afterLines="0"/>
              <w:ind w:firstLine="360"/>
              <w:jc w:val="center"/>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蜂蜜</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无</w:t>
            </w:r>
          </w:p>
        </w:tc>
        <w:tc>
          <w:tcPr>
            <w:tcW w:w="4536" w:type="dxa"/>
            <w:vAlign w:val="center"/>
          </w:tcPr>
          <w:p>
            <w:pPr>
              <w:pStyle w:val="69"/>
              <w:spacing w:after="0" w:afterLines="0"/>
              <w:ind w:firstLine="360"/>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花生醇</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无</w:t>
            </w:r>
          </w:p>
        </w:tc>
        <w:tc>
          <w:tcPr>
            <w:tcW w:w="4536" w:type="dxa"/>
            <w:vAlign w:val="center"/>
          </w:tcPr>
          <w:p>
            <w:pPr>
              <w:pStyle w:val="69"/>
              <w:spacing w:after="0" w:afterLines="0"/>
              <w:ind w:firstLine="360"/>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2376" w:type="dxa"/>
            <w:vAlign w:val="center"/>
          </w:tcPr>
          <w:p>
            <w:pPr>
              <w:pStyle w:val="69"/>
              <w:spacing w:after="0" w:afterLines="0"/>
              <w:ind w:firstLine="360"/>
              <w:jc w:val="center"/>
              <w:rPr>
                <w:rFonts w:ascii="宋体" w:hAnsi="宋体"/>
                <w:szCs w:val="21"/>
              </w:rPr>
            </w:pPr>
            <w:r>
              <w:rPr>
                <w:rFonts w:hint="eastAsia" w:ascii="宋体" w:hAnsi="宋体"/>
                <w:szCs w:val="21"/>
              </w:rPr>
              <w:t>氯化镁</w:t>
            </w:r>
          </w:p>
        </w:tc>
        <w:tc>
          <w:tcPr>
            <w:tcW w:w="1843" w:type="dxa"/>
            <w:vAlign w:val="center"/>
          </w:tcPr>
          <w:p>
            <w:pPr>
              <w:pStyle w:val="69"/>
              <w:spacing w:after="0" w:afterLines="0"/>
              <w:ind w:firstLine="360"/>
              <w:jc w:val="center"/>
              <w:rPr>
                <w:rFonts w:ascii="宋体" w:hAnsi="宋体"/>
                <w:szCs w:val="21"/>
              </w:rPr>
            </w:pPr>
            <w:r>
              <w:rPr>
                <w:rFonts w:hint="eastAsia" w:ascii="宋体" w:hAnsi="宋体"/>
                <w:szCs w:val="21"/>
              </w:rPr>
              <w:t>无</w:t>
            </w:r>
          </w:p>
        </w:tc>
        <w:tc>
          <w:tcPr>
            <w:tcW w:w="4536" w:type="dxa"/>
            <w:vAlign w:val="center"/>
          </w:tcPr>
          <w:p>
            <w:pPr>
              <w:pStyle w:val="69"/>
              <w:spacing w:after="0" w:afterLines="0"/>
              <w:ind w:firstLine="360"/>
              <w:jc w:val="center"/>
              <w:rPr>
                <w:rFonts w:ascii="宋体" w:hAnsi="宋体"/>
                <w:szCs w:val="21"/>
              </w:rPr>
            </w:pPr>
            <w:r>
              <w:rPr>
                <w:rFonts w:ascii="宋体" w:hAnsi="宋体"/>
                <w:szCs w:val="21"/>
              </w:rPr>
              <w:t>/</w:t>
            </w:r>
          </w:p>
        </w:tc>
      </w:tr>
    </w:tbl>
    <w:p>
      <w:pPr>
        <w:spacing w:before="120" w:beforeLines="50" w:after="120"/>
        <w:ind w:firstLine="420"/>
        <w:rPr>
          <w:rFonts w:ascii="Times New Roman" w:hAnsi="Times New Roman" w:eastAsia="宋体"/>
          <w:sz w:val="21"/>
          <w:szCs w:val="21"/>
        </w:rPr>
      </w:pPr>
      <w:r>
        <w:rPr>
          <w:rFonts w:hint="eastAsia" w:ascii="Times New Roman" w:hAnsi="Times New Roman" w:eastAsia="宋体"/>
          <w:sz w:val="21"/>
          <w:szCs w:val="21"/>
        </w:rPr>
        <w:t>此外，该产品终产品的检验报告显示其铅、汞、砷、镉、二噁烷检验结果符合《化妆品安全技术规范》（</w:t>
      </w:r>
      <w:r>
        <w:rPr>
          <w:rFonts w:ascii="Times New Roman" w:hAnsi="Times New Roman" w:eastAsia="宋体"/>
          <w:sz w:val="21"/>
          <w:szCs w:val="21"/>
        </w:rPr>
        <w:t>2015</w:t>
      </w:r>
      <w:r>
        <w:rPr>
          <w:rFonts w:hint="eastAsia" w:ascii="Times New Roman" w:hAnsi="Times New Roman" w:eastAsia="宋体"/>
          <w:sz w:val="21"/>
          <w:szCs w:val="21"/>
        </w:rPr>
        <w:t>年版）表</w:t>
      </w:r>
      <w:r>
        <w:rPr>
          <w:rFonts w:ascii="Times New Roman" w:hAnsi="Times New Roman" w:eastAsia="宋体"/>
          <w:sz w:val="21"/>
          <w:szCs w:val="21"/>
        </w:rPr>
        <w:t>2</w:t>
      </w:r>
      <w:r>
        <w:rPr>
          <w:rFonts w:hint="eastAsia" w:ascii="Times New Roman" w:hAnsi="Times New Roman" w:eastAsia="宋体"/>
          <w:sz w:val="21"/>
          <w:szCs w:val="21"/>
        </w:rPr>
        <w:t>《化妆品中有害物质限量》与其对应的指标要求。</w:t>
      </w:r>
    </w:p>
    <w:p>
      <w:pPr>
        <w:spacing w:before="120" w:after="120" w:line="240" w:lineRule="auto"/>
        <w:ind w:firstLine="420"/>
        <w:rPr>
          <w:rFonts w:ascii="Times New Roman" w:hAnsi="Times New Roman" w:eastAsia="宋体" w:cs="Calibri"/>
          <w:sz w:val="21"/>
          <w:szCs w:val="21"/>
        </w:rPr>
        <w:sectPr>
          <w:headerReference r:id="rId15" w:type="first"/>
          <w:footerReference r:id="rId18" w:type="first"/>
          <w:headerReference r:id="rId13" w:type="default"/>
          <w:footerReference r:id="rId16" w:type="default"/>
          <w:headerReference r:id="rId14" w:type="even"/>
          <w:footerReference r:id="rId17" w:type="even"/>
          <w:pgSz w:w="12240" w:h="15840"/>
          <w:pgMar w:top="1440" w:right="1440" w:bottom="1440" w:left="1440" w:header="720" w:footer="720" w:gutter="0"/>
          <w:cols w:space="720" w:num="1"/>
          <w:titlePg/>
          <w:docGrid w:linePitch="360" w:charSpace="0"/>
        </w:sectPr>
      </w:pPr>
    </w:p>
    <w:p>
      <w:pPr>
        <w:spacing w:before="120" w:after="120" w:line="240" w:lineRule="auto"/>
        <w:ind w:firstLine="560"/>
        <w:rPr>
          <w:rFonts w:ascii="黑体" w:hAnsi="黑体" w:eastAsia="黑体"/>
          <w:szCs w:val="28"/>
        </w:rPr>
      </w:pPr>
      <w:bookmarkStart w:id="26" w:name="_Toc936"/>
      <w:bookmarkStart w:id="27" w:name="_Toc362852038"/>
      <w:r>
        <w:rPr>
          <w:rFonts w:hint="eastAsia" w:ascii="黑体" w:hAnsi="黑体" w:eastAsia="黑体"/>
          <w:szCs w:val="28"/>
        </w:rPr>
        <w:t>六、</w:t>
      </w:r>
      <w:bookmarkEnd w:id="26"/>
      <w:r>
        <w:rPr>
          <w:rFonts w:hint="eastAsia" w:ascii="黑体" w:hAnsi="黑体" w:eastAsia="黑体"/>
          <w:szCs w:val="28"/>
        </w:rPr>
        <w:t>风险控制措施或建议</w:t>
      </w:r>
    </w:p>
    <w:p>
      <w:pPr>
        <w:spacing w:after="120"/>
        <w:ind w:firstLine="420"/>
        <w:rPr>
          <w:rFonts w:ascii="Times New Roman" w:hAnsi="Times New Roman" w:eastAsia="宋体"/>
          <w:sz w:val="21"/>
          <w:szCs w:val="21"/>
        </w:rPr>
      </w:pPr>
      <w:r>
        <w:rPr>
          <w:rFonts w:ascii="Times New Roman" w:hAnsi="Times New Roman" w:eastAsia="宋体"/>
          <w:sz w:val="21"/>
          <w:szCs w:val="21"/>
        </w:rPr>
        <w:t>本产品为身体乳（驻留类产品），适用于涂抹于全身，可每日使用。</w:t>
      </w:r>
    </w:p>
    <w:p>
      <w:pPr>
        <w:spacing w:after="120"/>
        <w:ind w:firstLine="420"/>
        <w:rPr>
          <w:rFonts w:ascii="Times New Roman" w:hAnsi="Times New Roman" w:eastAsia="宋体"/>
          <w:sz w:val="21"/>
          <w:szCs w:val="21"/>
        </w:rPr>
      </w:pPr>
      <w:r>
        <w:rPr>
          <w:rFonts w:ascii="Times New Roman" w:hAnsi="Times New Roman" w:eastAsia="宋体"/>
          <w:sz w:val="21"/>
          <w:szCs w:val="21"/>
        </w:rPr>
        <w:t>本产品无需标注警示用语</w:t>
      </w:r>
    </w:p>
    <w:p>
      <w:pPr>
        <w:spacing w:before="120" w:after="120" w:line="240" w:lineRule="auto"/>
        <w:ind w:firstLine="560"/>
        <w:rPr>
          <w:rFonts w:ascii="黑体" w:hAnsi="黑体" w:eastAsia="黑体"/>
          <w:szCs w:val="28"/>
        </w:rPr>
      </w:pPr>
      <w:bookmarkStart w:id="28" w:name="_Toc17913"/>
      <w:r>
        <w:rPr>
          <w:rFonts w:hint="eastAsia" w:ascii="黑体" w:hAnsi="黑体" w:eastAsia="黑体"/>
          <w:szCs w:val="28"/>
        </w:rPr>
        <w:t>七、安全评估结论</w:t>
      </w:r>
      <w:bookmarkEnd w:id="28"/>
    </w:p>
    <w:p>
      <w:pPr>
        <w:spacing w:after="120"/>
        <w:ind w:firstLine="420"/>
        <w:rPr>
          <w:rFonts w:ascii="Times New Roman" w:hAnsi="Times New Roman" w:eastAsia="宋体"/>
          <w:sz w:val="21"/>
          <w:szCs w:val="21"/>
        </w:rPr>
      </w:pPr>
      <w:r>
        <w:rPr>
          <w:rFonts w:ascii="Times New Roman" w:hAnsi="Times New Roman" w:eastAsia="宋体"/>
          <w:sz w:val="21"/>
          <w:szCs w:val="21"/>
        </w:rPr>
        <w:t>本产品为身体乳（驻留类产品），</w:t>
      </w:r>
      <w:r>
        <w:rPr>
          <w:rFonts w:hint="eastAsia" w:ascii="Times New Roman" w:hAnsi="Times New Roman" w:eastAsia="宋体"/>
          <w:sz w:val="21"/>
          <w:szCs w:val="21"/>
        </w:rPr>
        <w:t>可每日使用，</w:t>
      </w:r>
      <w:r>
        <w:rPr>
          <w:rFonts w:ascii="Times New Roman" w:hAnsi="Times New Roman" w:eastAsia="宋体"/>
          <w:sz w:val="21"/>
          <w:szCs w:val="21"/>
        </w:rPr>
        <w:t>涂抹于全身。主要暴露方式为经皮吸收，根据产品的特性，对本产品的暴露评估仅考虑经皮途径。</w:t>
      </w:r>
    </w:p>
    <w:p>
      <w:pPr>
        <w:spacing w:after="120"/>
        <w:ind w:firstLine="420"/>
        <w:rPr>
          <w:rFonts w:ascii="Times New Roman" w:hAnsi="Times New Roman" w:eastAsia="宋体"/>
          <w:sz w:val="21"/>
          <w:szCs w:val="21"/>
        </w:rPr>
      </w:pPr>
      <w:r>
        <w:rPr>
          <w:rFonts w:ascii="Times New Roman" w:hAnsi="Times New Roman" w:eastAsia="宋体"/>
          <w:sz w:val="21"/>
          <w:szCs w:val="21"/>
        </w:rPr>
        <w:t>通过对产品以下各方面的综合评估</w:t>
      </w:r>
      <w:r>
        <w:rPr>
          <w:rFonts w:hint="eastAsia" w:ascii="Times New Roman" w:hAnsi="Times New Roman" w:eastAsia="宋体"/>
          <w:sz w:val="21"/>
          <w:szCs w:val="21"/>
        </w:rPr>
        <w:t>：</w:t>
      </w:r>
    </w:p>
    <w:p>
      <w:pPr>
        <w:spacing w:after="120"/>
        <w:ind w:firstLine="420"/>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、各成分的安全评估结果显示，所有成分在本产品浓度下不会对人体健康产生危害；</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2、可能存在的安全性风险物质检测及评估结果显示，不会对人体健康产生危害；</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3、防腐剂挑战结果符合有关要求；</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 xml:space="preserve">4、微生物检验结果显示该产品微生物符合《化妆品安全技术规范》（2015年版）有关要求； </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5、有害物质检测结果显示，该产品有害物质含量符合《化妆品安全技术规范》（2015年版）有关要求;</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6、产品的理化特性、稳定性检测结果显示，符合相关要求；</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7、产品与包装材料的相容性评估结果显示，符合相关要求；</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8、配方中各成分之间未预见发生有害的相互作用；</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9、上市后的安全监测信息将随时补充入评估资料。</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综上，认为该产品在正常及合理、可预见的使用条件下，风险在可接受的范围之内，不会对人体健康产生危害。</w:t>
      </w:r>
    </w:p>
    <w:bookmarkEnd w:id="27"/>
    <w:p>
      <w:pPr>
        <w:spacing w:before="120" w:after="120" w:line="240" w:lineRule="auto"/>
        <w:ind w:firstLine="560"/>
        <w:rPr>
          <w:rFonts w:ascii="黑体" w:hAnsi="黑体" w:eastAsia="黑体"/>
          <w:szCs w:val="28"/>
        </w:rPr>
      </w:pPr>
      <w:bookmarkStart w:id="29" w:name="_Toc29387"/>
      <w:r>
        <w:rPr>
          <w:rFonts w:hint="eastAsia" w:ascii="黑体" w:hAnsi="黑体" w:eastAsia="黑体"/>
          <w:szCs w:val="28"/>
        </w:rPr>
        <w:t>八、</w:t>
      </w:r>
      <w:r>
        <w:rPr>
          <w:rFonts w:ascii="黑体" w:hAnsi="黑体" w:eastAsia="黑体"/>
          <w:szCs w:val="28"/>
        </w:rPr>
        <w:t>安全评估人员签名</w:t>
      </w:r>
      <w:bookmarkEnd w:id="29"/>
      <w:bookmarkStart w:id="30" w:name="_Toc401479024"/>
      <w:r>
        <w:rPr>
          <w:rFonts w:ascii="黑体" w:hAnsi="黑体" w:eastAsia="黑体"/>
          <w:szCs w:val="28"/>
        </w:rPr>
        <w:t xml:space="preserve"> </w:t>
      </w:r>
    </w:p>
    <w:p>
      <w:pPr>
        <w:spacing w:after="120"/>
        <w:ind w:firstLine="420"/>
        <w:rPr>
          <w:rFonts w:ascii="Times New Roman" w:hAnsi="Times New Roman" w:eastAsia="宋体"/>
          <w:sz w:val="21"/>
          <w:szCs w:val="21"/>
        </w:rPr>
      </w:pPr>
      <w:r>
        <w:rPr>
          <w:rFonts w:ascii="Times New Roman" w:hAnsi="Times New Roman" w:eastAsia="宋体"/>
          <w:sz w:val="21"/>
          <w:szCs w:val="21"/>
        </w:rPr>
        <w:t xml:space="preserve">评估人：XXXX    </w:t>
      </w:r>
    </w:p>
    <w:p>
      <w:pPr>
        <w:spacing w:after="120"/>
        <w:ind w:firstLine="420"/>
        <w:rPr>
          <w:rFonts w:ascii="Times New Roman" w:hAnsi="Times New Roman" w:eastAsia="宋体"/>
          <w:sz w:val="21"/>
          <w:szCs w:val="21"/>
        </w:rPr>
      </w:pPr>
      <w:r>
        <w:rPr>
          <w:rFonts w:ascii="Times New Roman" w:hAnsi="Times New Roman" w:eastAsia="宋体"/>
          <w:sz w:val="21"/>
          <w:szCs w:val="21"/>
        </w:rPr>
        <w:t>日期：20</w:t>
      </w:r>
      <w:r>
        <w:rPr>
          <w:rFonts w:hint="eastAsia" w:ascii="Times New Roman" w:hAnsi="Times New Roman" w:eastAsia="宋体"/>
          <w:sz w:val="21"/>
          <w:szCs w:val="21"/>
        </w:rPr>
        <w:t>20</w:t>
      </w:r>
      <w:r>
        <w:rPr>
          <w:rFonts w:ascii="Times New Roman" w:hAnsi="Times New Roman" w:eastAsia="宋体"/>
          <w:sz w:val="21"/>
          <w:szCs w:val="21"/>
        </w:rPr>
        <w:t>年XX月XX日</w:t>
      </w:r>
    </w:p>
    <w:p>
      <w:pPr>
        <w:spacing w:after="120"/>
        <w:ind w:firstLine="420"/>
        <w:rPr>
          <w:rFonts w:ascii="Times New Roman" w:hAnsi="Times New Roman" w:eastAsia="宋体"/>
          <w:sz w:val="21"/>
          <w:szCs w:val="21"/>
        </w:rPr>
      </w:pPr>
      <w:r>
        <w:rPr>
          <w:rFonts w:ascii="Times New Roman" w:hAnsi="Times New Roman" w:eastAsia="宋体"/>
          <w:sz w:val="21"/>
          <w:szCs w:val="21"/>
        </w:rPr>
        <w:t>地址：XXXXXXXXXXXXXXX</w:t>
      </w:r>
    </w:p>
    <w:bookmarkEnd w:id="30"/>
    <w:p>
      <w:pPr>
        <w:spacing w:before="120" w:after="120" w:line="240" w:lineRule="auto"/>
        <w:ind w:firstLine="560"/>
        <w:rPr>
          <w:rFonts w:ascii="黑体" w:hAnsi="黑体" w:eastAsia="黑体"/>
          <w:szCs w:val="28"/>
        </w:rPr>
      </w:pPr>
      <w:bookmarkStart w:id="31" w:name="_Toc6455"/>
      <w:r>
        <w:rPr>
          <w:rFonts w:hint="eastAsia" w:ascii="黑体" w:hAnsi="黑体" w:eastAsia="黑体"/>
          <w:szCs w:val="28"/>
        </w:rPr>
        <w:t>九、</w:t>
      </w:r>
      <w:r>
        <w:rPr>
          <w:rFonts w:ascii="黑体" w:hAnsi="黑体" w:eastAsia="黑体"/>
          <w:szCs w:val="28"/>
        </w:rPr>
        <w:t>安全评估人员资质证明（简历）</w:t>
      </w:r>
      <w:bookmarkEnd w:id="31"/>
    </w:p>
    <w:p>
      <w:pPr>
        <w:spacing w:after="120"/>
        <w:ind w:firstLine="420"/>
        <w:rPr>
          <w:rFonts w:ascii="Times New Roman" w:hAnsi="Times New Roman" w:eastAsia="宋体"/>
          <w:sz w:val="21"/>
          <w:szCs w:val="21"/>
        </w:rPr>
      </w:pPr>
      <w:r>
        <w:rPr>
          <w:rFonts w:ascii="Times New Roman" w:hAnsi="Times New Roman" w:eastAsia="宋体"/>
          <w:sz w:val="21"/>
          <w:szCs w:val="21"/>
        </w:rPr>
        <w:t>XXXXXX</w:t>
      </w:r>
    </w:p>
    <w:p>
      <w:pPr>
        <w:spacing w:before="120" w:after="120" w:line="240" w:lineRule="auto"/>
        <w:ind w:firstLine="560"/>
        <w:rPr>
          <w:rFonts w:ascii="黑体" w:hAnsi="黑体" w:eastAsia="黑体"/>
          <w:szCs w:val="28"/>
        </w:rPr>
      </w:pPr>
      <w:bookmarkStart w:id="32" w:name="_Toc18105"/>
      <w:r>
        <w:rPr>
          <w:rFonts w:hint="eastAsia" w:ascii="黑体" w:hAnsi="黑体" w:eastAsia="黑体"/>
          <w:szCs w:val="28"/>
        </w:rPr>
        <w:t>十、</w:t>
      </w:r>
      <w:r>
        <w:rPr>
          <w:rFonts w:ascii="黑体" w:hAnsi="黑体" w:eastAsia="黑体"/>
          <w:szCs w:val="28"/>
        </w:rPr>
        <w:t xml:space="preserve">参考文献 </w:t>
      </w:r>
      <w:r>
        <w:rPr>
          <w:rFonts w:hint="eastAsia" w:ascii="黑体" w:hAnsi="黑体" w:eastAsia="黑体"/>
          <w:szCs w:val="28"/>
        </w:rPr>
        <w:t>（略）</w:t>
      </w:r>
      <w:bookmarkEnd w:id="32"/>
    </w:p>
    <w:p>
      <w:pPr>
        <w:spacing w:after="120"/>
        <w:ind w:firstLine="420"/>
        <w:rPr>
          <w:rFonts w:ascii="Times New Roman" w:hAnsi="Times New Roman" w:eastAsia="宋体"/>
          <w:sz w:val="21"/>
          <w:szCs w:val="21"/>
        </w:rPr>
      </w:pPr>
      <w:r>
        <w:rPr>
          <w:rFonts w:hint="eastAsia" w:ascii="Times New Roman" w:hAnsi="Times New Roman" w:eastAsia="宋体"/>
          <w:sz w:val="21"/>
          <w:szCs w:val="21"/>
        </w:rPr>
        <w:t>格式举例：</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1. 国家食品药品监督管理总局。关于发布化妆品安全技术规范（</w:t>
      </w:r>
      <w:r>
        <w:rPr>
          <w:rFonts w:ascii="Times New Roman" w:hAnsi="Times New Roman" w:eastAsia="宋体"/>
          <w:sz w:val="21"/>
          <w:szCs w:val="21"/>
        </w:rPr>
        <w:t>2015</w:t>
      </w:r>
      <w:r>
        <w:rPr>
          <w:rFonts w:hint="eastAsia" w:ascii="Times New Roman" w:hAnsi="Times New Roman" w:eastAsia="宋体"/>
          <w:sz w:val="21"/>
          <w:szCs w:val="21"/>
        </w:rPr>
        <w:t>年版）的公告。2015年第268号</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 xml:space="preserve">2. </w:t>
      </w:r>
      <w:r>
        <w:rPr>
          <w:rFonts w:ascii="Times New Roman" w:hAnsi="Times New Roman" w:eastAsia="宋体"/>
          <w:sz w:val="21"/>
          <w:szCs w:val="21"/>
        </w:rPr>
        <w:t>Ralph Gingell</w:t>
      </w:r>
      <w:r>
        <w:rPr>
          <w:rFonts w:hint="eastAsia" w:ascii="Times New Roman" w:hAnsi="Times New Roman" w:eastAsia="宋体"/>
          <w:sz w:val="21"/>
          <w:szCs w:val="21"/>
        </w:rPr>
        <w:t>,</w:t>
      </w:r>
      <w:r>
        <w:rPr>
          <w:rFonts w:ascii="Times New Roman" w:hAnsi="Times New Roman" w:eastAsia="宋体"/>
          <w:sz w:val="21"/>
          <w:szCs w:val="21"/>
        </w:rPr>
        <w:t xml:space="preserve"> Jeannie B</w:t>
      </w:r>
      <w:r>
        <w:rPr>
          <w:rFonts w:hint="eastAsia" w:ascii="Times New Roman" w:hAnsi="Times New Roman" w:eastAsia="宋体"/>
          <w:sz w:val="21"/>
          <w:szCs w:val="21"/>
        </w:rPr>
        <w:t xml:space="preserve">. </w:t>
      </w:r>
      <w:r>
        <w:rPr>
          <w:rFonts w:ascii="Times New Roman" w:hAnsi="Times New Roman" w:eastAsia="宋体"/>
          <w:sz w:val="21"/>
          <w:szCs w:val="21"/>
        </w:rPr>
        <w:t>Kirkpatrick</w:t>
      </w:r>
      <w:r>
        <w:rPr>
          <w:rFonts w:hint="eastAsia" w:ascii="Times New Roman" w:hAnsi="Times New Roman" w:eastAsia="宋体"/>
          <w:sz w:val="21"/>
          <w:szCs w:val="21"/>
        </w:rPr>
        <w:t>,</w:t>
      </w:r>
      <w:r>
        <w:rPr>
          <w:rFonts w:ascii="Times New Roman" w:hAnsi="Times New Roman" w:eastAsia="宋体"/>
          <w:sz w:val="21"/>
          <w:szCs w:val="21"/>
        </w:rPr>
        <w:t xml:space="preserve"> and David R.</w:t>
      </w:r>
      <w:r>
        <w:rPr>
          <w:rFonts w:hint="eastAsia" w:ascii="Times New Roman" w:hAnsi="Times New Roman" w:eastAsia="宋体"/>
          <w:sz w:val="21"/>
          <w:szCs w:val="21"/>
        </w:rPr>
        <w:t xml:space="preserve"> </w:t>
      </w:r>
      <w:r>
        <w:rPr>
          <w:rFonts w:ascii="Times New Roman" w:hAnsi="Times New Roman" w:eastAsia="宋体"/>
          <w:sz w:val="21"/>
          <w:szCs w:val="21"/>
        </w:rPr>
        <w:t>Subchronic Toxicity Study of 1,3-Propanediol</w:t>
      </w:r>
      <w:r>
        <w:rPr>
          <w:rFonts w:hint="eastAsia" w:ascii="Times New Roman" w:hAnsi="Times New Roman" w:eastAsia="宋体"/>
          <w:sz w:val="21"/>
          <w:szCs w:val="21"/>
        </w:rPr>
        <w:t xml:space="preserve"> </w:t>
      </w:r>
      <w:r>
        <w:rPr>
          <w:rFonts w:ascii="Times New Roman" w:hAnsi="Times New Roman" w:eastAsia="宋体"/>
          <w:sz w:val="21"/>
          <w:szCs w:val="21"/>
        </w:rPr>
        <w:t>Administered Orally to Rats</w:t>
      </w:r>
      <w:r>
        <w:rPr>
          <w:rFonts w:hint="eastAsia" w:ascii="Times New Roman" w:hAnsi="Times New Roman" w:eastAsia="宋体"/>
          <w:sz w:val="21"/>
          <w:szCs w:val="21"/>
        </w:rPr>
        <w:t xml:space="preserve">. </w:t>
      </w:r>
      <w:r>
        <w:rPr>
          <w:rFonts w:ascii="Times New Roman" w:hAnsi="Times New Roman" w:eastAsia="宋体"/>
          <w:sz w:val="21"/>
          <w:szCs w:val="21"/>
        </w:rPr>
        <w:t>International Journal of Toxicology, 2000</w:t>
      </w:r>
      <w:r>
        <w:rPr>
          <w:rFonts w:hint="eastAsia" w:ascii="Times New Roman" w:hAnsi="Times New Roman" w:eastAsia="宋体"/>
          <w:sz w:val="21"/>
          <w:szCs w:val="21"/>
        </w:rPr>
        <w:t>,</w:t>
      </w:r>
      <w:r>
        <w:rPr>
          <w:rFonts w:ascii="Times New Roman" w:hAnsi="Times New Roman" w:eastAsia="宋体"/>
          <w:sz w:val="21"/>
          <w:szCs w:val="21"/>
        </w:rPr>
        <w:t>19:</w:t>
      </w:r>
      <w:r>
        <w:rPr>
          <w:rFonts w:hint="eastAsia" w:ascii="Times New Roman" w:hAnsi="Times New Roman" w:eastAsia="宋体"/>
          <w:sz w:val="21"/>
          <w:szCs w:val="21"/>
        </w:rPr>
        <w:t xml:space="preserve"> </w:t>
      </w:r>
      <w:r>
        <w:rPr>
          <w:rFonts w:ascii="Times New Roman" w:hAnsi="Times New Roman" w:eastAsia="宋体"/>
          <w:sz w:val="21"/>
          <w:szCs w:val="21"/>
        </w:rPr>
        <w:t>27–32</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 xml:space="preserve">3. </w:t>
      </w:r>
      <w:r>
        <w:rPr>
          <w:rFonts w:ascii="Times New Roman" w:hAnsi="Times New Roman" w:eastAsia="宋体"/>
          <w:sz w:val="21"/>
          <w:szCs w:val="21"/>
        </w:rPr>
        <w:t>Safety Assessment of</w:t>
      </w:r>
      <w:r>
        <w:rPr>
          <w:rFonts w:hint="eastAsia" w:ascii="Times New Roman" w:hAnsi="Times New Roman" w:eastAsia="宋体"/>
          <w:sz w:val="21"/>
          <w:szCs w:val="21"/>
        </w:rPr>
        <w:t xml:space="preserve"> </w:t>
      </w:r>
      <w:r>
        <w:rPr>
          <w:rFonts w:ascii="Times New Roman" w:hAnsi="Times New Roman" w:eastAsia="宋体"/>
          <w:sz w:val="21"/>
          <w:szCs w:val="21"/>
        </w:rPr>
        <w:t>Brown Algae-Derived Ingredients</w:t>
      </w:r>
      <w:r>
        <w:rPr>
          <w:rFonts w:hint="eastAsia" w:ascii="Times New Roman" w:hAnsi="Times New Roman" w:eastAsia="宋体"/>
          <w:sz w:val="21"/>
          <w:szCs w:val="21"/>
        </w:rPr>
        <w:t xml:space="preserve"> </w:t>
      </w:r>
      <w:r>
        <w:rPr>
          <w:rFonts w:ascii="Times New Roman" w:hAnsi="Times New Roman" w:eastAsia="宋体"/>
          <w:sz w:val="21"/>
          <w:szCs w:val="21"/>
        </w:rPr>
        <w:t>as Used in Cosmetics</w:t>
      </w:r>
      <w:r>
        <w:rPr>
          <w:rFonts w:hint="eastAsia" w:ascii="Times New Roman" w:hAnsi="Times New Roman" w:eastAsia="宋体"/>
          <w:sz w:val="21"/>
          <w:szCs w:val="21"/>
        </w:rPr>
        <w:t xml:space="preserve">. </w:t>
      </w:r>
      <w:r>
        <w:rPr>
          <w:rFonts w:ascii="Times New Roman" w:hAnsi="Times New Roman" w:eastAsia="宋体"/>
          <w:sz w:val="21"/>
          <w:szCs w:val="21"/>
        </w:rPr>
        <w:t>Final report 201</w:t>
      </w:r>
      <w:r>
        <w:rPr>
          <w:rFonts w:hint="eastAsia" w:ascii="Times New Roman" w:hAnsi="Times New Roman" w:eastAsia="宋体"/>
          <w:sz w:val="21"/>
          <w:szCs w:val="21"/>
        </w:rPr>
        <w:t>9</w:t>
      </w:r>
      <w:r>
        <w:rPr>
          <w:rFonts w:ascii="Times New Roman" w:hAnsi="Times New Roman" w:eastAsia="宋体"/>
          <w:sz w:val="21"/>
          <w:szCs w:val="21"/>
        </w:rPr>
        <w:t xml:space="preserve"> available from CIR</w:t>
      </w:r>
    </w:p>
    <w:p>
      <w:pPr>
        <w:spacing w:before="120" w:after="120" w:line="240" w:lineRule="auto"/>
        <w:ind w:firstLine="560"/>
        <w:rPr>
          <w:rFonts w:ascii="黑体" w:hAnsi="黑体" w:eastAsia="黑体"/>
          <w:szCs w:val="28"/>
        </w:rPr>
      </w:pPr>
      <w:bookmarkStart w:id="33" w:name="_Toc9616"/>
      <w:r>
        <w:rPr>
          <w:rFonts w:hint="eastAsia" w:ascii="黑体" w:hAnsi="黑体" w:eastAsia="黑体"/>
          <w:szCs w:val="28"/>
        </w:rPr>
        <w:t>十一、附录</w:t>
      </w:r>
      <w:bookmarkEnd w:id="33"/>
    </w:p>
    <w:p>
      <w:pPr>
        <w:spacing w:after="120"/>
        <w:ind w:firstLine="420"/>
        <w:rPr>
          <w:rFonts w:ascii="Times New Roman" w:hAnsi="Times New Roman" w:eastAsia="宋体"/>
          <w:sz w:val="21"/>
          <w:szCs w:val="21"/>
        </w:rPr>
      </w:pPr>
      <w:r>
        <w:rPr>
          <w:rFonts w:hint="eastAsia" w:ascii="Times New Roman" w:hAnsi="Times New Roman" w:eastAsia="宋体"/>
          <w:sz w:val="21"/>
          <w:szCs w:val="21"/>
        </w:rPr>
        <w:t>1、香精的IFRA证书</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2、原料供应商提供的1,3-丙二醇、花生醇、氯化镁毒理学检测报告</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3、产品中二甘醇、苯酚、二噁烷检测报告</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4、防腐剂挑战报告</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5、微生物检测报告</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6、有害物质检测报告</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7、理化特性、稳定性检测报告</w:t>
      </w:r>
    </w:p>
    <w:p>
      <w:pPr>
        <w:spacing w:after="120"/>
        <w:ind w:firstLine="420"/>
        <w:rPr>
          <w:rFonts w:ascii="Times New Roman" w:hAnsi="Times New Roman" w:eastAsia="宋体"/>
          <w:sz w:val="21"/>
          <w:szCs w:val="21"/>
        </w:rPr>
      </w:pPr>
      <w:r>
        <w:rPr>
          <w:rFonts w:hint="eastAsia" w:ascii="Times New Roman" w:hAnsi="Times New Roman" w:eastAsia="宋体"/>
          <w:sz w:val="21"/>
          <w:szCs w:val="21"/>
        </w:rPr>
        <w:t>8、包装材料相容性检测报告</w:t>
      </w:r>
    </w:p>
    <w:p>
      <w:pPr>
        <w:spacing w:after="120"/>
        <w:ind w:firstLine="420"/>
        <w:rPr>
          <w:rFonts w:ascii="Times New Roman" w:hAnsi="Times New Roman" w:eastAsia="宋体"/>
          <w:sz w:val="21"/>
          <w:szCs w:val="21"/>
        </w:rPr>
      </w:pPr>
    </w:p>
    <w:p>
      <w:pPr>
        <w:ind w:firstLine="560"/>
        <w:rPr>
          <w:rFonts w:ascii="仿宋" w:hAnsi="仿宋" w:eastAsia="仿宋"/>
          <w:szCs w:val="28"/>
        </w:rPr>
      </w:pPr>
    </w:p>
    <w:sectPr>
      <w:pgSz w:w="11906" w:h="16838"/>
      <w:pgMar w:top="1440" w:right="1797" w:bottom="1440" w:left="1797" w:header="851" w:footer="68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EUAlbertina">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华文楷体">
    <w:altName w:val="楷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8" name="MSIPCM240d4fca9d8b6a3f5045af16"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pPr>
                            <w:ind w:firstLine="360"/>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240d4fca9d8b6a3f5045af16" o:spid="_x0000_s1026" o:spt="202" alt="{&quot;HashCode&quot;:-1406602145,&quot;Height&quot;:841.0,&quot;Width&quot;:595.0,&quot;Placement&quot;:&quot;Footer&quot;,&quot;Index&quot;:&quot;Primary&quot;,&quot;Section&quot;:1,&quot;Top&quot;:0.0,&quot;Left&quot;:0.0}" type="#_x0000_t202" style="position:absolute;left:0pt;margin-left:0pt;margin-top:805.9pt;height:21pt;width:595.3pt;mso-position-horizontal-relative:page;mso-position-vertical-relative:page;z-index:251659264;v-text-anchor:bottom;mso-width-relative:page;mso-height-relative:page;" filled="f" stroked="f" coordsize="21600,21600" o:allowincell="f" o:gfxdata="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dxeeHY&#10;AAAACwEAAA8AAAAAAAAAAQAgAAAAIgAAAGRycy9kb3ducmV2LnhtbFBLAQIUABQAAAAIAIdO4kCJ&#10;heCjkgIAAA4FAAAOAAAAAAAAAAEAIAAAACcBAABkcnMvZTJvRG9jLnhtbFBLBQYAAAAABgAGAFkB&#10;AAArBgAAAAA=&#10;">
              <v:fill on="f" focussize="0,0"/>
              <v:stroke on="f" weight="0.5pt"/>
              <v:imagedata o:title=""/>
              <o:lock v:ext="edit" aspectratio="f"/>
              <v:textbox inset="2.54mm,0mm,2.54mm,0mm">
                <w:txbxContent>
                  <w:p>
                    <w:pPr>
                      <w:ind w:firstLine="360"/>
                      <w:jc w:val="center"/>
                      <w:rPr>
                        <w:rFonts w:ascii="Arial" w:hAnsi="Arial" w:cs="Arial"/>
                        <w:color w:val="008000"/>
                        <w:sz w:val="18"/>
                      </w:rPr>
                    </w:pPr>
                  </w:p>
                </w:txbxContent>
              </v:textbox>
            </v:shape>
          </w:pict>
        </mc:Fallback>
      </mc:AlternateContent>
    </w:r>
    <w:r>
      <w:fldChar w:fldCharType="begin"/>
    </w:r>
    <w:r>
      <w:instrText xml:space="preserve"> PAGE   \* MERGEFORMAT </w:instrText>
    </w:r>
    <w:r>
      <w:fldChar w:fldCharType="separate"/>
    </w:r>
    <w:r>
      <w:t>32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497310"/>
      <w:docPartObj>
        <w:docPartGallery w:val="autotext"/>
      </w:docPartObj>
    </w:sdtPr>
    <w:sdtContent>
      <w:p>
        <w:pPr>
          <w:pStyle w:val="13"/>
          <w:ind w:firstLine="360"/>
          <w:jc w:val="center"/>
        </w:pPr>
      </w:p>
    </w:sdtContent>
  </w:sdt>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3"/>
          <w:ind w:firstLine="360"/>
          <w:jc w:val="center"/>
        </w:pPr>
        <w:r>
          <w:fldChar w:fldCharType="begin"/>
        </w:r>
        <w:r>
          <w:instrText xml:space="preserve">PAGE   \* MERGEFORMAT</w:instrText>
        </w:r>
        <w:r>
          <w:fldChar w:fldCharType="separate"/>
        </w:r>
        <w:r>
          <w:rPr>
            <w:lang w:val="zh-CN"/>
          </w:rPr>
          <w:t>42</w:t>
        </w:r>
        <w:r>
          <w:fldChar w:fldCharType="end"/>
        </w:r>
      </w:p>
    </w:sdtContent>
  </w:sdt>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13"/>
          <w:ind w:firstLine="360"/>
          <w:jc w:val="center"/>
        </w:pPr>
        <w:r>
          <w:fldChar w:fldCharType="begin"/>
        </w:r>
        <w:r>
          <w:instrText xml:space="preserve">PAGE   \* MERGEFORMAT</w:instrText>
        </w:r>
        <w:r>
          <w:fldChar w:fldCharType="separate"/>
        </w:r>
        <w:r>
          <w:rPr>
            <w:lang w:val="zh-CN"/>
          </w:rPr>
          <w:t>47</w:t>
        </w:r>
        <w:r>
          <w:fldChar w:fldCharType="end"/>
        </w:r>
      </w:p>
    </w:sdtContent>
  </w:sdt>
  <w:p>
    <w:pPr>
      <w:pStyle w:val="13"/>
      <w:spacing w:after="120"/>
      <w:ind w:firstLine="400"/>
      <w:jc w:val="center"/>
      <w:rPr>
        <w:rFonts w:asciiTheme="minorHAnsi" w:hAnsiTheme="minorHAnsi"/>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33334"/>
    <w:multiLevelType w:val="multilevel"/>
    <w:tmpl w:val="76933334"/>
    <w:lvl w:ilvl="0" w:tentative="0">
      <w:start w:val="1"/>
      <w:numFmt w:val="none"/>
      <w:pStyle w:val="5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96"/>
    <w:rsid w:val="000110F4"/>
    <w:rsid w:val="0001627B"/>
    <w:rsid w:val="00020FC0"/>
    <w:rsid w:val="000214D0"/>
    <w:rsid w:val="0002330B"/>
    <w:rsid w:val="00025CAD"/>
    <w:rsid w:val="00032C33"/>
    <w:rsid w:val="00034B66"/>
    <w:rsid w:val="00034E9E"/>
    <w:rsid w:val="00037E2F"/>
    <w:rsid w:val="0004064D"/>
    <w:rsid w:val="00044D5F"/>
    <w:rsid w:val="00044EDA"/>
    <w:rsid w:val="00047E49"/>
    <w:rsid w:val="0005228F"/>
    <w:rsid w:val="00052BF4"/>
    <w:rsid w:val="0005721F"/>
    <w:rsid w:val="0005783C"/>
    <w:rsid w:val="000612A8"/>
    <w:rsid w:val="00061D68"/>
    <w:rsid w:val="000636F3"/>
    <w:rsid w:val="00070F5E"/>
    <w:rsid w:val="00074DE9"/>
    <w:rsid w:val="00075ED5"/>
    <w:rsid w:val="00080C22"/>
    <w:rsid w:val="0008247C"/>
    <w:rsid w:val="00084839"/>
    <w:rsid w:val="00084A79"/>
    <w:rsid w:val="00084FE5"/>
    <w:rsid w:val="0009251F"/>
    <w:rsid w:val="00094523"/>
    <w:rsid w:val="00094F8D"/>
    <w:rsid w:val="000A22EF"/>
    <w:rsid w:val="000A3383"/>
    <w:rsid w:val="000A3688"/>
    <w:rsid w:val="000A4BFA"/>
    <w:rsid w:val="000B28F7"/>
    <w:rsid w:val="000C1F0F"/>
    <w:rsid w:val="000C454F"/>
    <w:rsid w:val="000C5CF3"/>
    <w:rsid w:val="000D21F6"/>
    <w:rsid w:val="000D3027"/>
    <w:rsid w:val="000D3031"/>
    <w:rsid w:val="000D31A8"/>
    <w:rsid w:val="000D5CE2"/>
    <w:rsid w:val="000E1E1A"/>
    <w:rsid w:val="000E2E85"/>
    <w:rsid w:val="000E39B2"/>
    <w:rsid w:val="000E54F9"/>
    <w:rsid w:val="000E6075"/>
    <w:rsid w:val="000E668E"/>
    <w:rsid w:val="000E771F"/>
    <w:rsid w:val="000F355D"/>
    <w:rsid w:val="000F5980"/>
    <w:rsid w:val="000F7A62"/>
    <w:rsid w:val="00100A3A"/>
    <w:rsid w:val="00102A9C"/>
    <w:rsid w:val="00105CE6"/>
    <w:rsid w:val="00110A20"/>
    <w:rsid w:val="00113447"/>
    <w:rsid w:val="0011568E"/>
    <w:rsid w:val="00116F3A"/>
    <w:rsid w:val="00121720"/>
    <w:rsid w:val="00125842"/>
    <w:rsid w:val="00126874"/>
    <w:rsid w:val="001274E5"/>
    <w:rsid w:val="00127AF6"/>
    <w:rsid w:val="001379A6"/>
    <w:rsid w:val="001451E1"/>
    <w:rsid w:val="001458A9"/>
    <w:rsid w:val="00147297"/>
    <w:rsid w:val="001558FD"/>
    <w:rsid w:val="00160724"/>
    <w:rsid w:val="00162661"/>
    <w:rsid w:val="00163A9F"/>
    <w:rsid w:val="00164C64"/>
    <w:rsid w:val="0016741A"/>
    <w:rsid w:val="00167D19"/>
    <w:rsid w:val="0017228A"/>
    <w:rsid w:val="00181A5A"/>
    <w:rsid w:val="0018298A"/>
    <w:rsid w:val="0018340C"/>
    <w:rsid w:val="00183A62"/>
    <w:rsid w:val="001943B3"/>
    <w:rsid w:val="00195B2B"/>
    <w:rsid w:val="001A4666"/>
    <w:rsid w:val="001A470D"/>
    <w:rsid w:val="001A65AE"/>
    <w:rsid w:val="001B5E24"/>
    <w:rsid w:val="001C4D2E"/>
    <w:rsid w:val="001C73D3"/>
    <w:rsid w:val="001D75CC"/>
    <w:rsid w:val="001E6301"/>
    <w:rsid w:val="001E6CC3"/>
    <w:rsid w:val="001E7693"/>
    <w:rsid w:val="001E7DC9"/>
    <w:rsid w:val="001F0B46"/>
    <w:rsid w:val="001F1A47"/>
    <w:rsid w:val="001F2FD0"/>
    <w:rsid w:val="001F644B"/>
    <w:rsid w:val="001F703F"/>
    <w:rsid w:val="00207DA7"/>
    <w:rsid w:val="0021475D"/>
    <w:rsid w:val="002302AD"/>
    <w:rsid w:val="00231545"/>
    <w:rsid w:val="0023173D"/>
    <w:rsid w:val="00231D52"/>
    <w:rsid w:val="002321B8"/>
    <w:rsid w:val="0024264A"/>
    <w:rsid w:val="00245440"/>
    <w:rsid w:val="00246A5E"/>
    <w:rsid w:val="00252CB2"/>
    <w:rsid w:val="00255942"/>
    <w:rsid w:val="00256F3E"/>
    <w:rsid w:val="0025717E"/>
    <w:rsid w:val="00261747"/>
    <w:rsid w:val="00265B49"/>
    <w:rsid w:val="00273920"/>
    <w:rsid w:val="002776A7"/>
    <w:rsid w:val="00277E6A"/>
    <w:rsid w:val="002839EF"/>
    <w:rsid w:val="002860A5"/>
    <w:rsid w:val="00286911"/>
    <w:rsid w:val="0029498C"/>
    <w:rsid w:val="00295AAD"/>
    <w:rsid w:val="002A0BF9"/>
    <w:rsid w:val="002A3853"/>
    <w:rsid w:val="002A3E82"/>
    <w:rsid w:val="002A7EC1"/>
    <w:rsid w:val="002B0F6A"/>
    <w:rsid w:val="002B3FBB"/>
    <w:rsid w:val="002B479A"/>
    <w:rsid w:val="002B55E8"/>
    <w:rsid w:val="002B6311"/>
    <w:rsid w:val="002C08E6"/>
    <w:rsid w:val="002C404E"/>
    <w:rsid w:val="002C4CB4"/>
    <w:rsid w:val="002C7B90"/>
    <w:rsid w:val="002D2743"/>
    <w:rsid w:val="002D42D5"/>
    <w:rsid w:val="002D5DB5"/>
    <w:rsid w:val="002D7496"/>
    <w:rsid w:val="002E18C3"/>
    <w:rsid w:val="002E3C61"/>
    <w:rsid w:val="002E5FC3"/>
    <w:rsid w:val="002E63F3"/>
    <w:rsid w:val="002F158C"/>
    <w:rsid w:val="002F1C0C"/>
    <w:rsid w:val="00310F07"/>
    <w:rsid w:val="00315615"/>
    <w:rsid w:val="003209F2"/>
    <w:rsid w:val="00323A7D"/>
    <w:rsid w:val="00323B07"/>
    <w:rsid w:val="0032650C"/>
    <w:rsid w:val="003275D8"/>
    <w:rsid w:val="00330B6B"/>
    <w:rsid w:val="00331029"/>
    <w:rsid w:val="00331C64"/>
    <w:rsid w:val="00334781"/>
    <w:rsid w:val="00335611"/>
    <w:rsid w:val="00341308"/>
    <w:rsid w:val="00342B2F"/>
    <w:rsid w:val="00342BFF"/>
    <w:rsid w:val="003452FA"/>
    <w:rsid w:val="003457E7"/>
    <w:rsid w:val="00345F6A"/>
    <w:rsid w:val="00350CEF"/>
    <w:rsid w:val="003560C8"/>
    <w:rsid w:val="00360ACF"/>
    <w:rsid w:val="00362F5C"/>
    <w:rsid w:val="00363C09"/>
    <w:rsid w:val="0036400C"/>
    <w:rsid w:val="003658DE"/>
    <w:rsid w:val="00371AE1"/>
    <w:rsid w:val="003727C2"/>
    <w:rsid w:val="00373B74"/>
    <w:rsid w:val="003743FC"/>
    <w:rsid w:val="00374BB1"/>
    <w:rsid w:val="003773BF"/>
    <w:rsid w:val="00386703"/>
    <w:rsid w:val="00390D09"/>
    <w:rsid w:val="003939E6"/>
    <w:rsid w:val="00393EFF"/>
    <w:rsid w:val="003A030D"/>
    <w:rsid w:val="003A1A0F"/>
    <w:rsid w:val="003A2230"/>
    <w:rsid w:val="003A57AF"/>
    <w:rsid w:val="003A7F4E"/>
    <w:rsid w:val="003B2417"/>
    <w:rsid w:val="003B3CCC"/>
    <w:rsid w:val="003B5113"/>
    <w:rsid w:val="003B6211"/>
    <w:rsid w:val="003C07D9"/>
    <w:rsid w:val="003D2725"/>
    <w:rsid w:val="003D2D84"/>
    <w:rsid w:val="003D4062"/>
    <w:rsid w:val="003D757D"/>
    <w:rsid w:val="003E1469"/>
    <w:rsid w:val="003E4613"/>
    <w:rsid w:val="003F1AC1"/>
    <w:rsid w:val="004060D7"/>
    <w:rsid w:val="00410750"/>
    <w:rsid w:val="0041136F"/>
    <w:rsid w:val="0041220D"/>
    <w:rsid w:val="00424D50"/>
    <w:rsid w:val="004275D6"/>
    <w:rsid w:val="00431E69"/>
    <w:rsid w:val="004325CD"/>
    <w:rsid w:val="0043588D"/>
    <w:rsid w:val="00441785"/>
    <w:rsid w:val="00441D2F"/>
    <w:rsid w:val="0044338F"/>
    <w:rsid w:val="004436B8"/>
    <w:rsid w:val="0045220B"/>
    <w:rsid w:val="0045345C"/>
    <w:rsid w:val="004540D9"/>
    <w:rsid w:val="004547AE"/>
    <w:rsid w:val="0046069C"/>
    <w:rsid w:val="00465494"/>
    <w:rsid w:val="0046736E"/>
    <w:rsid w:val="00467E29"/>
    <w:rsid w:val="004714FA"/>
    <w:rsid w:val="00471F4C"/>
    <w:rsid w:val="004808D6"/>
    <w:rsid w:val="00482334"/>
    <w:rsid w:val="00486CB5"/>
    <w:rsid w:val="00493B40"/>
    <w:rsid w:val="00494AD6"/>
    <w:rsid w:val="00494C5C"/>
    <w:rsid w:val="004A0B4B"/>
    <w:rsid w:val="004A2004"/>
    <w:rsid w:val="004A2A2A"/>
    <w:rsid w:val="004A5FCD"/>
    <w:rsid w:val="004B1EBA"/>
    <w:rsid w:val="004B2B76"/>
    <w:rsid w:val="004B785F"/>
    <w:rsid w:val="004C28C6"/>
    <w:rsid w:val="004C32D5"/>
    <w:rsid w:val="004C60C3"/>
    <w:rsid w:val="004D28A7"/>
    <w:rsid w:val="004D6865"/>
    <w:rsid w:val="004E4648"/>
    <w:rsid w:val="004F184B"/>
    <w:rsid w:val="004F69B7"/>
    <w:rsid w:val="004F7AD0"/>
    <w:rsid w:val="00506830"/>
    <w:rsid w:val="00506E4E"/>
    <w:rsid w:val="005104F1"/>
    <w:rsid w:val="00512ADC"/>
    <w:rsid w:val="00513A8F"/>
    <w:rsid w:val="005144F2"/>
    <w:rsid w:val="00514EB0"/>
    <w:rsid w:val="00515B6E"/>
    <w:rsid w:val="00516F72"/>
    <w:rsid w:val="00520276"/>
    <w:rsid w:val="005234E7"/>
    <w:rsid w:val="00526C72"/>
    <w:rsid w:val="00527311"/>
    <w:rsid w:val="00527B74"/>
    <w:rsid w:val="00527EC9"/>
    <w:rsid w:val="00532B0D"/>
    <w:rsid w:val="005439D2"/>
    <w:rsid w:val="00543CD0"/>
    <w:rsid w:val="00543D6F"/>
    <w:rsid w:val="00545439"/>
    <w:rsid w:val="0054632D"/>
    <w:rsid w:val="00547711"/>
    <w:rsid w:val="00547C4F"/>
    <w:rsid w:val="00550B55"/>
    <w:rsid w:val="00551A61"/>
    <w:rsid w:val="00551E7F"/>
    <w:rsid w:val="00552861"/>
    <w:rsid w:val="0055620D"/>
    <w:rsid w:val="005577DB"/>
    <w:rsid w:val="005707D1"/>
    <w:rsid w:val="00571E38"/>
    <w:rsid w:val="005776B1"/>
    <w:rsid w:val="00580B1B"/>
    <w:rsid w:val="005A59B6"/>
    <w:rsid w:val="005A5C8A"/>
    <w:rsid w:val="005B76CB"/>
    <w:rsid w:val="005C031E"/>
    <w:rsid w:val="005C3895"/>
    <w:rsid w:val="005C4517"/>
    <w:rsid w:val="005C665B"/>
    <w:rsid w:val="005D071C"/>
    <w:rsid w:val="005D1B03"/>
    <w:rsid w:val="005D1E17"/>
    <w:rsid w:val="005D3286"/>
    <w:rsid w:val="005D405E"/>
    <w:rsid w:val="005E00A9"/>
    <w:rsid w:val="005E3BF6"/>
    <w:rsid w:val="005E5C0F"/>
    <w:rsid w:val="005F336E"/>
    <w:rsid w:val="005F3A24"/>
    <w:rsid w:val="005F6732"/>
    <w:rsid w:val="005F6752"/>
    <w:rsid w:val="00601B98"/>
    <w:rsid w:val="00602A87"/>
    <w:rsid w:val="00611DCE"/>
    <w:rsid w:val="00613002"/>
    <w:rsid w:val="00613CD2"/>
    <w:rsid w:val="00613DAC"/>
    <w:rsid w:val="00614F10"/>
    <w:rsid w:val="00620F89"/>
    <w:rsid w:val="00623A90"/>
    <w:rsid w:val="00624BE6"/>
    <w:rsid w:val="006252C8"/>
    <w:rsid w:val="00631846"/>
    <w:rsid w:val="00632CA9"/>
    <w:rsid w:val="006544A9"/>
    <w:rsid w:val="0065528C"/>
    <w:rsid w:val="00655DD8"/>
    <w:rsid w:val="00656F38"/>
    <w:rsid w:val="006628AB"/>
    <w:rsid w:val="006648B7"/>
    <w:rsid w:val="00670BDF"/>
    <w:rsid w:val="00671522"/>
    <w:rsid w:val="0067272B"/>
    <w:rsid w:val="00682D11"/>
    <w:rsid w:val="006869A3"/>
    <w:rsid w:val="006870E8"/>
    <w:rsid w:val="00691E22"/>
    <w:rsid w:val="00693221"/>
    <w:rsid w:val="006959D8"/>
    <w:rsid w:val="00696896"/>
    <w:rsid w:val="006A06E9"/>
    <w:rsid w:val="006A1844"/>
    <w:rsid w:val="006A3627"/>
    <w:rsid w:val="006A47BD"/>
    <w:rsid w:val="006A52DC"/>
    <w:rsid w:val="006A6873"/>
    <w:rsid w:val="006A7932"/>
    <w:rsid w:val="006B09C7"/>
    <w:rsid w:val="006B20E2"/>
    <w:rsid w:val="006B2B0F"/>
    <w:rsid w:val="006B50AC"/>
    <w:rsid w:val="006B663F"/>
    <w:rsid w:val="006D34DA"/>
    <w:rsid w:val="006D44C5"/>
    <w:rsid w:val="006D6B46"/>
    <w:rsid w:val="006E1112"/>
    <w:rsid w:val="006E19A9"/>
    <w:rsid w:val="006E3120"/>
    <w:rsid w:val="006E4FAD"/>
    <w:rsid w:val="006E5655"/>
    <w:rsid w:val="006F0103"/>
    <w:rsid w:val="006F1C21"/>
    <w:rsid w:val="006F7698"/>
    <w:rsid w:val="006F770F"/>
    <w:rsid w:val="00702273"/>
    <w:rsid w:val="00702D51"/>
    <w:rsid w:val="00703D10"/>
    <w:rsid w:val="007061AD"/>
    <w:rsid w:val="00706FE0"/>
    <w:rsid w:val="00710865"/>
    <w:rsid w:val="0071167E"/>
    <w:rsid w:val="00714198"/>
    <w:rsid w:val="007172DB"/>
    <w:rsid w:val="007206C2"/>
    <w:rsid w:val="00721876"/>
    <w:rsid w:val="0072433D"/>
    <w:rsid w:val="007255CE"/>
    <w:rsid w:val="00736D54"/>
    <w:rsid w:val="00737751"/>
    <w:rsid w:val="0074230E"/>
    <w:rsid w:val="00744C1D"/>
    <w:rsid w:val="0074560D"/>
    <w:rsid w:val="00745732"/>
    <w:rsid w:val="00751759"/>
    <w:rsid w:val="0075229B"/>
    <w:rsid w:val="00755878"/>
    <w:rsid w:val="00765936"/>
    <w:rsid w:val="00765AAE"/>
    <w:rsid w:val="00770CD9"/>
    <w:rsid w:val="00773676"/>
    <w:rsid w:val="00781792"/>
    <w:rsid w:val="007832F9"/>
    <w:rsid w:val="007844FB"/>
    <w:rsid w:val="00786B8A"/>
    <w:rsid w:val="00787A65"/>
    <w:rsid w:val="007911D4"/>
    <w:rsid w:val="00791245"/>
    <w:rsid w:val="007932BD"/>
    <w:rsid w:val="00793DC1"/>
    <w:rsid w:val="007A546B"/>
    <w:rsid w:val="007A7C0A"/>
    <w:rsid w:val="007B0035"/>
    <w:rsid w:val="007B2AA5"/>
    <w:rsid w:val="007B62A6"/>
    <w:rsid w:val="007B7C1A"/>
    <w:rsid w:val="007C008F"/>
    <w:rsid w:val="007C0509"/>
    <w:rsid w:val="007C0A4E"/>
    <w:rsid w:val="007C4954"/>
    <w:rsid w:val="007C6E9C"/>
    <w:rsid w:val="007D0911"/>
    <w:rsid w:val="007D36C1"/>
    <w:rsid w:val="007D36DE"/>
    <w:rsid w:val="007D3DF9"/>
    <w:rsid w:val="007E52A0"/>
    <w:rsid w:val="00803731"/>
    <w:rsid w:val="00803D5E"/>
    <w:rsid w:val="00810890"/>
    <w:rsid w:val="0082157D"/>
    <w:rsid w:val="0082709F"/>
    <w:rsid w:val="008437A3"/>
    <w:rsid w:val="00844F56"/>
    <w:rsid w:val="00846127"/>
    <w:rsid w:val="00847C37"/>
    <w:rsid w:val="00851D06"/>
    <w:rsid w:val="008550B1"/>
    <w:rsid w:val="008605D6"/>
    <w:rsid w:val="00860634"/>
    <w:rsid w:val="00860DAC"/>
    <w:rsid w:val="00861BFB"/>
    <w:rsid w:val="00862D92"/>
    <w:rsid w:val="008633F9"/>
    <w:rsid w:val="008634EC"/>
    <w:rsid w:val="00864D62"/>
    <w:rsid w:val="008669A2"/>
    <w:rsid w:val="008675D8"/>
    <w:rsid w:val="0086766B"/>
    <w:rsid w:val="00870C12"/>
    <w:rsid w:val="00876316"/>
    <w:rsid w:val="00877AC0"/>
    <w:rsid w:val="00880310"/>
    <w:rsid w:val="008815B4"/>
    <w:rsid w:val="00881D59"/>
    <w:rsid w:val="00882EB0"/>
    <w:rsid w:val="00884A87"/>
    <w:rsid w:val="00885AFC"/>
    <w:rsid w:val="00891347"/>
    <w:rsid w:val="0089136C"/>
    <w:rsid w:val="00891D80"/>
    <w:rsid w:val="0089303F"/>
    <w:rsid w:val="00894A53"/>
    <w:rsid w:val="008976CF"/>
    <w:rsid w:val="008A1AAD"/>
    <w:rsid w:val="008A22C3"/>
    <w:rsid w:val="008A2538"/>
    <w:rsid w:val="008A6AF1"/>
    <w:rsid w:val="008B1E81"/>
    <w:rsid w:val="008B34DA"/>
    <w:rsid w:val="008B3586"/>
    <w:rsid w:val="008C123D"/>
    <w:rsid w:val="008C35B9"/>
    <w:rsid w:val="008C4973"/>
    <w:rsid w:val="008D2991"/>
    <w:rsid w:val="008D3985"/>
    <w:rsid w:val="008D527B"/>
    <w:rsid w:val="008D55A4"/>
    <w:rsid w:val="008D75F8"/>
    <w:rsid w:val="008E19F6"/>
    <w:rsid w:val="008E20B8"/>
    <w:rsid w:val="008F0284"/>
    <w:rsid w:val="008F0AC9"/>
    <w:rsid w:val="008F0FC0"/>
    <w:rsid w:val="008F23C6"/>
    <w:rsid w:val="008F5FA6"/>
    <w:rsid w:val="0090434D"/>
    <w:rsid w:val="00905DCB"/>
    <w:rsid w:val="00905F9F"/>
    <w:rsid w:val="00912BF9"/>
    <w:rsid w:val="00917820"/>
    <w:rsid w:val="00924FF4"/>
    <w:rsid w:val="00925186"/>
    <w:rsid w:val="00936E41"/>
    <w:rsid w:val="0093771C"/>
    <w:rsid w:val="00941CA0"/>
    <w:rsid w:val="00941EB6"/>
    <w:rsid w:val="0094268B"/>
    <w:rsid w:val="00950584"/>
    <w:rsid w:val="00953792"/>
    <w:rsid w:val="00962F36"/>
    <w:rsid w:val="00963808"/>
    <w:rsid w:val="0096380F"/>
    <w:rsid w:val="00964DBA"/>
    <w:rsid w:val="00966EAC"/>
    <w:rsid w:val="009675C0"/>
    <w:rsid w:val="00967A01"/>
    <w:rsid w:val="00967E85"/>
    <w:rsid w:val="00972954"/>
    <w:rsid w:val="00974A07"/>
    <w:rsid w:val="00976A1D"/>
    <w:rsid w:val="00981AF9"/>
    <w:rsid w:val="00986760"/>
    <w:rsid w:val="00990325"/>
    <w:rsid w:val="00994AE2"/>
    <w:rsid w:val="00997111"/>
    <w:rsid w:val="00997245"/>
    <w:rsid w:val="00997E18"/>
    <w:rsid w:val="009A1A9B"/>
    <w:rsid w:val="009B2494"/>
    <w:rsid w:val="009B2674"/>
    <w:rsid w:val="009B2B3F"/>
    <w:rsid w:val="009B528C"/>
    <w:rsid w:val="009B625D"/>
    <w:rsid w:val="009B657F"/>
    <w:rsid w:val="009C45E6"/>
    <w:rsid w:val="009C5FC1"/>
    <w:rsid w:val="009C70B4"/>
    <w:rsid w:val="009D09C6"/>
    <w:rsid w:val="009D106C"/>
    <w:rsid w:val="009D4DD1"/>
    <w:rsid w:val="009E1FD9"/>
    <w:rsid w:val="009E5176"/>
    <w:rsid w:val="009E6A71"/>
    <w:rsid w:val="009E6CA9"/>
    <w:rsid w:val="009F111C"/>
    <w:rsid w:val="009F55AC"/>
    <w:rsid w:val="009F5976"/>
    <w:rsid w:val="009F6348"/>
    <w:rsid w:val="00A0601F"/>
    <w:rsid w:val="00A072A8"/>
    <w:rsid w:val="00A14233"/>
    <w:rsid w:val="00A15626"/>
    <w:rsid w:val="00A175CB"/>
    <w:rsid w:val="00A20F4E"/>
    <w:rsid w:val="00A22C8A"/>
    <w:rsid w:val="00A23726"/>
    <w:rsid w:val="00A23ECF"/>
    <w:rsid w:val="00A2691C"/>
    <w:rsid w:val="00A276CC"/>
    <w:rsid w:val="00A31C88"/>
    <w:rsid w:val="00A341FC"/>
    <w:rsid w:val="00A354B9"/>
    <w:rsid w:val="00A37F7B"/>
    <w:rsid w:val="00A466FD"/>
    <w:rsid w:val="00A4738C"/>
    <w:rsid w:val="00A535A7"/>
    <w:rsid w:val="00A605A3"/>
    <w:rsid w:val="00A61300"/>
    <w:rsid w:val="00A65FBC"/>
    <w:rsid w:val="00A703FD"/>
    <w:rsid w:val="00A732BE"/>
    <w:rsid w:val="00A75CCD"/>
    <w:rsid w:val="00A815E7"/>
    <w:rsid w:val="00A82280"/>
    <w:rsid w:val="00A879C5"/>
    <w:rsid w:val="00A93486"/>
    <w:rsid w:val="00A96665"/>
    <w:rsid w:val="00A97A26"/>
    <w:rsid w:val="00AA20C0"/>
    <w:rsid w:val="00AA671A"/>
    <w:rsid w:val="00AB1A21"/>
    <w:rsid w:val="00AB2C93"/>
    <w:rsid w:val="00AB2F0D"/>
    <w:rsid w:val="00AB4269"/>
    <w:rsid w:val="00AB6485"/>
    <w:rsid w:val="00AC105F"/>
    <w:rsid w:val="00AC3264"/>
    <w:rsid w:val="00AD1C67"/>
    <w:rsid w:val="00AD25F3"/>
    <w:rsid w:val="00AD3556"/>
    <w:rsid w:val="00AD4E7C"/>
    <w:rsid w:val="00AD569C"/>
    <w:rsid w:val="00AE1032"/>
    <w:rsid w:val="00AE4112"/>
    <w:rsid w:val="00AE7AC0"/>
    <w:rsid w:val="00AF6F7F"/>
    <w:rsid w:val="00B072C7"/>
    <w:rsid w:val="00B2590E"/>
    <w:rsid w:val="00B274B7"/>
    <w:rsid w:val="00B27FB6"/>
    <w:rsid w:val="00B338CD"/>
    <w:rsid w:val="00B35EBC"/>
    <w:rsid w:val="00B37D15"/>
    <w:rsid w:val="00B4143C"/>
    <w:rsid w:val="00B515D7"/>
    <w:rsid w:val="00B52225"/>
    <w:rsid w:val="00B539B8"/>
    <w:rsid w:val="00B55087"/>
    <w:rsid w:val="00B563C9"/>
    <w:rsid w:val="00B57077"/>
    <w:rsid w:val="00B70AF8"/>
    <w:rsid w:val="00B74856"/>
    <w:rsid w:val="00B75EF1"/>
    <w:rsid w:val="00B77EBD"/>
    <w:rsid w:val="00B816B1"/>
    <w:rsid w:val="00B825DD"/>
    <w:rsid w:val="00B83450"/>
    <w:rsid w:val="00B86209"/>
    <w:rsid w:val="00B929A7"/>
    <w:rsid w:val="00BA1618"/>
    <w:rsid w:val="00BA1E91"/>
    <w:rsid w:val="00BA61C7"/>
    <w:rsid w:val="00BD2F30"/>
    <w:rsid w:val="00BD36CA"/>
    <w:rsid w:val="00BD403F"/>
    <w:rsid w:val="00BD410B"/>
    <w:rsid w:val="00BD52DD"/>
    <w:rsid w:val="00BD5DB6"/>
    <w:rsid w:val="00BD6158"/>
    <w:rsid w:val="00BD7BB5"/>
    <w:rsid w:val="00BE1BA5"/>
    <w:rsid w:val="00BE4D94"/>
    <w:rsid w:val="00BE53FC"/>
    <w:rsid w:val="00BE588A"/>
    <w:rsid w:val="00BE7629"/>
    <w:rsid w:val="00BF02C1"/>
    <w:rsid w:val="00BF5AE3"/>
    <w:rsid w:val="00C01BA4"/>
    <w:rsid w:val="00C01BE1"/>
    <w:rsid w:val="00C032BB"/>
    <w:rsid w:val="00C10026"/>
    <w:rsid w:val="00C112C2"/>
    <w:rsid w:val="00C17951"/>
    <w:rsid w:val="00C22E02"/>
    <w:rsid w:val="00C26EE2"/>
    <w:rsid w:val="00C356D1"/>
    <w:rsid w:val="00C37652"/>
    <w:rsid w:val="00C46E46"/>
    <w:rsid w:val="00C55322"/>
    <w:rsid w:val="00C57615"/>
    <w:rsid w:val="00C613B1"/>
    <w:rsid w:val="00C62B3F"/>
    <w:rsid w:val="00C64B0D"/>
    <w:rsid w:val="00C6769C"/>
    <w:rsid w:val="00C70EB6"/>
    <w:rsid w:val="00C718AC"/>
    <w:rsid w:val="00C75A5D"/>
    <w:rsid w:val="00C7602D"/>
    <w:rsid w:val="00C91B55"/>
    <w:rsid w:val="00CA6234"/>
    <w:rsid w:val="00CB29A0"/>
    <w:rsid w:val="00CB537C"/>
    <w:rsid w:val="00CB6558"/>
    <w:rsid w:val="00CB7161"/>
    <w:rsid w:val="00CB7862"/>
    <w:rsid w:val="00CC44E1"/>
    <w:rsid w:val="00CC66A2"/>
    <w:rsid w:val="00CD0D22"/>
    <w:rsid w:val="00CD561D"/>
    <w:rsid w:val="00CE68E4"/>
    <w:rsid w:val="00CE7FB2"/>
    <w:rsid w:val="00CF1917"/>
    <w:rsid w:val="00CF6550"/>
    <w:rsid w:val="00D005A6"/>
    <w:rsid w:val="00D072A4"/>
    <w:rsid w:val="00D074C1"/>
    <w:rsid w:val="00D105A8"/>
    <w:rsid w:val="00D143BE"/>
    <w:rsid w:val="00D177E0"/>
    <w:rsid w:val="00D210BF"/>
    <w:rsid w:val="00D21275"/>
    <w:rsid w:val="00D21915"/>
    <w:rsid w:val="00D223D4"/>
    <w:rsid w:val="00D22C81"/>
    <w:rsid w:val="00D24CED"/>
    <w:rsid w:val="00D26258"/>
    <w:rsid w:val="00D32892"/>
    <w:rsid w:val="00D34153"/>
    <w:rsid w:val="00D414DE"/>
    <w:rsid w:val="00D41D6D"/>
    <w:rsid w:val="00D425A7"/>
    <w:rsid w:val="00D437E1"/>
    <w:rsid w:val="00D46FBE"/>
    <w:rsid w:val="00D5336B"/>
    <w:rsid w:val="00D53A9D"/>
    <w:rsid w:val="00D564E1"/>
    <w:rsid w:val="00D566AB"/>
    <w:rsid w:val="00D570E3"/>
    <w:rsid w:val="00D61D62"/>
    <w:rsid w:val="00D63099"/>
    <w:rsid w:val="00D63D1B"/>
    <w:rsid w:val="00D67C45"/>
    <w:rsid w:val="00D7026D"/>
    <w:rsid w:val="00D70E2C"/>
    <w:rsid w:val="00D720E2"/>
    <w:rsid w:val="00D80EB5"/>
    <w:rsid w:val="00D824CB"/>
    <w:rsid w:val="00D831F7"/>
    <w:rsid w:val="00D84DB1"/>
    <w:rsid w:val="00D9155F"/>
    <w:rsid w:val="00D93944"/>
    <w:rsid w:val="00D9667A"/>
    <w:rsid w:val="00DB1CD8"/>
    <w:rsid w:val="00DC0C1D"/>
    <w:rsid w:val="00DC4BA1"/>
    <w:rsid w:val="00DC69FA"/>
    <w:rsid w:val="00DD45E8"/>
    <w:rsid w:val="00DD5F57"/>
    <w:rsid w:val="00DE063B"/>
    <w:rsid w:val="00DE2DC6"/>
    <w:rsid w:val="00DE343F"/>
    <w:rsid w:val="00DF45B2"/>
    <w:rsid w:val="00DF618D"/>
    <w:rsid w:val="00DF7455"/>
    <w:rsid w:val="00E04D96"/>
    <w:rsid w:val="00E05694"/>
    <w:rsid w:val="00E0598B"/>
    <w:rsid w:val="00E10B5F"/>
    <w:rsid w:val="00E12618"/>
    <w:rsid w:val="00E2129D"/>
    <w:rsid w:val="00E21A8C"/>
    <w:rsid w:val="00E27829"/>
    <w:rsid w:val="00E310F7"/>
    <w:rsid w:val="00E33CC7"/>
    <w:rsid w:val="00E428AF"/>
    <w:rsid w:val="00E47C4B"/>
    <w:rsid w:val="00E64973"/>
    <w:rsid w:val="00E65032"/>
    <w:rsid w:val="00E66870"/>
    <w:rsid w:val="00E66B61"/>
    <w:rsid w:val="00E674E6"/>
    <w:rsid w:val="00E7028E"/>
    <w:rsid w:val="00E70791"/>
    <w:rsid w:val="00E733AC"/>
    <w:rsid w:val="00E77551"/>
    <w:rsid w:val="00E807B2"/>
    <w:rsid w:val="00E8274B"/>
    <w:rsid w:val="00E83E34"/>
    <w:rsid w:val="00E83EC7"/>
    <w:rsid w:val="00E87FF3"/>
    <w:rsid w:val="00E90AE9"/>
    <w:rsid w:val="00E94DA9"/>
    <w:rsid w:val="00EA04A5"/>
    <w:rsid w:val="00EA24A1"/>
    <w:rsid w:val="00EA3B0D"/>
    <w:rsid w:val="00EA5AB9"/>
    <w:rsid w:val="00EB35C9"/>
    <w:rsid w:val="00EB60DE"/>
    <w:rsid w:val="00EC19BF"/>
    <w:rsid w:val="00EC1C4A"/>
    <w:rsid w:val="00EE31A0"/>
    <w:rsid w:val="00EE3A7A"/>
    <w:rsid w:val="00EE4855"/>
    <w:rsid w:val="00EE4F90"/>
    <w:rsid w:val="00EE74F3"/>
    <w:rsid w:val="00EE7835"/>
    <w:rsid w:val="00EF33F6"/>
    <w:rsid w:val="00EF42F7"/>
    <w:rsid w:val="00F00660"/>
    <w:rsid w:val="00F058B7"/>
    <w:rsid w:val="00F066DB"/>
    <w:rsid w:val="00F071A1"/>
    <w:rsid w:val="00F1122F"/>
    <w:rsid w:val="00F11630"/>
    <w:rsid w:val="00F14A3C"/>
    <w:rsid w:val="00F14D1F"/>
    <w:rsid w:val="00F2329C"/>
    <w:rsid w:val="00F26996"/>
    <w:rsid w:val="00F32F20"/>
    <w:rsid w:val="00F43D83"/>
    <w:rsid w:val="00F50DD2"/>
    <w:rsid w:val="00F51594"/>
    <w:rsid w:val="00F51BB1"/>
    <w:rsid w:val="00F564F0"/>
    <w:rsid w:val="00F6420A"/>
    <w:rsid w:val="00F655A7"/>
    <w:rsid w:val="00F708BF"/>
    <w:rsid w:val="00F709F6"/>
    <w:rsid w:val="00F71934"/>
    <w:rsid w:val="00F72B2D"/>
    <w:rsid w:val="00F80DC0"/>
    <w:rsid w:val="00F82680"/>
    <w:rsid w:val="00F90647"/>
    <w:rsid w:val="00F91502"/>
    <w:rsid w:val="00F933A5"/>
    <w:rsid w:val="00F93E48"/>
    <w:rsid w:val="00F959D7"/>
    <w:rsid w:val="00F9629C"/>
    <w:rsid w:val="00FA3711"/>
    <w:rsid w:val="00FA6AB4"/>
    <w:rsid w:val="00FA741B"/>
    <w:rsid w:val="00FB4BB8"/>
    <w:rsid w:val="00FC0267"/>
    <w:rsid w:val="00FC2AC3"/>
    <w:rsid w:val="00FC3B15"/>
    <w:rsid w:val="00FC6038"/>
    <w:rsid w:val="00FE116F"/>
    <w:rsid w:val="00FE65B5"/>
    <w:rsid w:val="00FF5033"/>
    <w:rsid w:val="00FF6EE6"/>
    <w:rsid w:val="020C35D5"/>
    <w:rsid w:val="052C4A5D"/>
    <w:rsid w:val="07D61C20"/>
    <w:rsid w:val="07F0687D"/>
    <w:rsid w:val="07F64874"/>
    <w:rsid w:val="092B231D"/>
    <w:rsid w:val="095B5E5B"/>
    <w:rsid w:val="0A270CF6"/>
    <w:rsid w:val="0B606111"/>
    <w:rsid w:val="0B8167DB"/>
    <w:rsid w:val="0BDB663A"/>
    <w:rsid w:val="0C10068E"/>
    <w:rsid w:val="0C796983"/>
    <w:rsid w:val="0D9932D9"/>
    <w:rsid w:val="0E844663"/>
    <w:rsid w:val="0EB66358"/>
    <w:rsid w:val="0F93191A"/>
    <w:rsid w:val="1080313A"/>
    <w:rsid w:val="10A939F5"/>
    <w:rsid w:val="11435533"/>
    <w:rsid w:val="11D60658"/>
    <w:rsid w:val="141A4CC3"/>
    <w:rsid w:val="146C3A53"/>
    <w:rsid w:val="162A5039"/>
    <w:rsid w:val="183830F5"/>
    <w:rsid w:val="19031262"/>
    <w:rsid w:val="1B5977FA"/>
    <w:rsid w:val="1DC30638"/>
    <w:rsid w:val="1E9A3585"/>
    <w:rsid w:val="1FF95808"/>
    <w:rsid w:val="22E01B54"/>
    <w:rsid w:val="23232AEF"/>
    <w:rsid w:val="237A6741"/>
    <w:rsid w:val="251266E8"/>
    <w:rsid w:val="289F7497"/>
    <w:rsid w:val="2BE65142"/>
    <w:rsid w:val="2C37173D"/>
    <w:rsid w:val="2D077487"/>
    <w:rsid w:val="2E355DFA"/>
    <w:rsid w:val="2F2C0F15"/>
    <w:rsid w:val="32BE43E5"/>
    <w:rsid w:val="332353DF"/>
    <w:rsid w:val="38E301DD"/>
    <w:rsid w:val="3A323939"/>
    <w:rsid w:val="3AAB5EA1"/>
    <w:rsid w:val="3AC26BF3"/>
    <w:rsid w:val="3BC2666C"/>
    <w:rsid w:val="3C061707"/>
    <w:rsid w:val="3C9033DF"/>
    <w:rsid w:val="3F8810C7"/>
    <w:rsid w:val="3FD90B63"/>
    <w:rsid w:val="40FF1785"/>
    <w:rsid w:val="42F35C55"/>
    <w:rsid w:val="4358050A"/>
    <w:rsid w:val="43973BE9"/>
    <w:rsid w:val="454632ED"/>
    <w:rsid w:val="45F50F41"/>
    <w:rsid w:val="466F6B86"/>
    <w:rsid w:val="46C73092"/>
    <w:rsid w:val="47F30605"/>
    <w:rsid w:val="48653626"/>
    <w:rsid w:val="49CB5E43"/>
    <w:rsid w:val="4D42253C"/>
    <w:rsid w:val="4DB76BB2"/>
    <w:rsid w:val="4EC6527D"/>
    <w:rsid w:val="50377578"/>
    <w:rsid w:val="527D2706"/>
    <w:rsid w:val="549C0B1E"/>
    <w:rsid w:val="5AB97719"/>
    <w:rsid w:val="5CCE3963"/>
    <w:rsid w:val="5D167C0F"/>
    <w:rsid w:val="5FBA0061"/>
    <w:rsid w:val="5FC345E9"/>
    <w:rsid w:val="60D71F8C"/>
    <w:rsid w:val="610545D6"/>
    <w:rsid w:val="622318EF"/>
    <w:rsid w:val="625414FA"/>
    <w:rsid w:val="63127A73"/>
    <w:rsid w:val="65050AFA"/>
    <w:rsid w:val="67BC4DF2"/>
    <w:rsid w:val="6B204128"/>
    <w:rsid w:val="6CB53D0F"/>
    <w:rsid w:val="6DE17CB2"/>
    <w:rsid w:val="6DED469E"/>
    <w:rsid w:val="6EFE39FE"/>
    <w:rsid w:val="70C00219"/>
    <w:rsid w:val="723409F2"/>
    <w:rsid w:val="72350632"/>
    <w:rsid w:val="739F12C5"/>
    <w:rsid w:val="74417D24"/>
    <w:rsid w:val="74A72B4B"/>
    <w:rsid w:val="76524FF6"/>
    <w:rsid w:val="77551C27"/>
    <w:rsid w:val="79A54184"/>
    <w:rsid w:val="7A22024E"/>
    <w:rsid w:val="7D352939"/>
    <w:rsid w:val="7D64145E"/>
    <w:rsid w:val="7E70751C"/>
    <w:rsid w:val="7E9F335D"/>
    <w:rsid w:val="7F681AA0"/>
    <w:rsid w:val="D6DDD28F"/>
    <w:rsid w:val="FFFFC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640" w:firstLineChars="200"/>
      <w:jc w:val="both"/>
    </w:pPr>
    <w:rPr>
      <w:rFonts w:ascii="仿宋_GB2312" w:hAnsi="仿宋_GB2312" w:eastAsia="仿宋_GB2312" w:cs="Times New Roman"/>
      <w:kern w:val="2"/>
      <w:sz w:val="28"/>
      <w:szCs w:val="22"/>
      <w:lang w:val="en-US" w:eastAsia="zh-CN" w:bidi="ar-SA"/>
    </w:rPr>
  </w:style>
  <w:style w:type="paragraph" w:styleId="2">
    <w:name w:val="heading 1"/>
    <w:basedOn w:val="1"/>
    <w:next w:val="1"/>
    <w:link w:val="30"/>
    <w:qFormat/>
    <w:uiPriority w:val="9"/>
    <w:pPr>
      <w:keepNext/>
      <w:keepLines/>
      <w:spacing w:before="50" w:beforeLines="50" w:after="50" w:afterLines="50" w:line="240" w:lineRule="auto"/>
      <w:outlineLvl w:val="0"/>
    </w:pPr>
    <w:rPr>
      <w:rFonts w:ascii="黑体" w:hAnsi="黑体" w:eastAsia="黑体"/>
      <w:bCs/>
      <w:kern w:val="44"/>
      <w:sz w:val="30"/>
      <w:szCs w:val="44"/>
    </w:rPr>
  </w:style>
  <w:style w:type="paragraph" w:styleId="3">
    <w:name w:val="heading 2"/>
    <w:basedOn w:val="1"/>
    <w:next w:val="1"/>
    <w:link w:val="31"/>
    <w:unhideWhenUsed/>
    <w:qFormat/>
    <w:uiPriority w:val="9"/>
    <w:pPr>
      <w:keepNext/>
      <w:keepLines/>
      <w:outlineLvl w:val="1"/>
    </w:pPr>
    <w:rPr>
      <w:b/>
      <w:bCs/>
      <w:kern w:val="0"/>
      <w:szCs w:val="32"/>
    </w:rPr>
  </w:style>
  <w:style w:type="paragraph" w:styleId="4">
    <w:name w:val="heading 3"/>
    <w:basedOn w:val="1"/>
    <w:next w:val="1"/>
    <w:link w:val="32"/>
    <w:unhideWhenUsed/>
    <w:qFormat/>
    <w:uiPriority w:val="9"/>
    <w:pPr>
      <w:keepNext/>
      <w:keepLines/>
      <w:spacing w:line="240" w:lineRule="auto"/>
      <w:outlineLvl w:val="2"/>
    </w:pPr>
    <w:rPr>
      <w:rFonts w:ascii="Times New Roman" w:hAnsi="Times New Roman"/>
      <w:bCs/>
      <w:kern w:val="0"/>
      <w:szCs w:val="32"/>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qFormat/>
    <w:uiPriority w:val="99"/>
    <w:rPr>
      <w:rFonts w:ascii="Times New Roman" w:hAnsi="Times New Roman"/>
      <w:b/>
      <w:bCs/>
      <w:kern w:val="0"/>
      <w:sz w:val="20"/>
      <w:szCs w:val="20"/>
    </w:rPr>
  </w:style>
  <w:style w:type="paragraph" w:styleId="6">
    <w:name w:val="annotation text"/>
    <w:basedOn w:val="1"/>
    <w:link w:val="33"/>
    <w:unhideWhenUsed/>
    <w:qFormat/>
    <w:uiPriority w:val="99"/>
    <w:pPr>
      <w:jc w:val="left"/>
    </w:pPr>
  </w:style>
  <w:style w:type="paragraph" w:styleId="7">
    <w:name w:val="toc 7"/>
    <w:basedOn w:val="1"/>
    <w:next w:val="1"/>
    <w:unhideWhenUsed/>
    <w:qFormat/>
    <w:uiPriority w:val="39"/>
    <w:pPr>
      <w:ind w:left="1260"/>
      <w:jc w:val="left"/>
    </w:pPr>
    <w:rPr>
      <w:sz w:val="18"/>
      <w:szCs w:val="18"/>
    </w:rPr>
  </w:style>
  <w:style w:type="paragraph" w:styleId="8">
    <w:name w:val="toc 5"/>
    <w:basedOn w:val="1"/>
    <w:next w:val="1"/>
    <w:unhideWhenUsed/>
    <w:qFormat/>
    <w:uiPriority w:val="39"/>
    <w:pPr>
      <w:ind w:left="840"/>
      <w:jc w:val="left"/>
    </w:pPr>
    <w:rPr>
      <w:sz w:val="18"/>
      <w:szCs w:val="18"/>
    </w:rPr>
  </w:style>
  <w:style w:type="paragraph" w:styleId="9">
    <w:name w:val="toc 3"/>
    <w:basedOn w:val="1"/>
    <w:next w:val="1"/>
    <w:unhideWhenUsed/>
    <w:qFormat/>
    <w:uiPriority w:val="39"/>
    <w:pPr>
      <w:ind w:left="420"/>
      <w:jc w:val="left"/>
    </w:pPr>
    <w:rPr>
      <w:i/>
      <w:iCs/>
      <w:sz w:val="20"/>
      <w:szCs w:val="20"/>
    </w:rPr>
  </w:style>
  <w:style w:type="paragraph" w:styleId="10">
    <w:name w:val="toc 8"/>
    <w:basedOn w:val="1"/>
    <w:next w:val="1"/>
    <w:unhideWhenUsed/>
    <w:qFormat/>
    <w:uiPriority w:val="39"/>
    <w:pPr>
      <w:ind w:left="1470"/>
      <w:jc w:val="left"/>
    </w:pPr>
    <w:rPr>
      <w:sz w:val="18"/>
      <w:szCs w:val="18"/>
    </w:rPr>
  </w:style>
  <w:style w:type="paragraph" w:styleId="11">
    <w:name w:val="Date"/>
    <w:basedOn w:val="1"/>
    <w:next w:val="1"/>
    <w:link w:val="35"/>
    <w:unhideWhenUsed/>
    <w:qFormat/>
    <w:uiPriority w:val="99"/>
    <w:pPr>
      <w:ind w:left="100" w:leftChars="2500"/>
    </w:pPr>
  </w:style>
  <w:style w:type="paragraph" w:styleId="12">
    <w:name w:val="Balloon Text"/>
    <w:basedOn w:val="1"/>
    <w:link w:val="36"/>
    <w:unhideWhenUsed/>
    <w:qFormat/>
    <w:uiPriority w:val="99"/>
    <w:rPr>
      <w:rFonts w:ascii="Times New Roman" w:hAnsi="Times New Roman"/>
      <w:kern w:val="0"/>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630"/>
      <w:jc w:val="left"/>
    </w:pPr>
    <w:rPr>
      <w:sz w:val="18"/>
      <w:szCs w:val="18"/>
    </w:rPr>
  </w:style>
  <w:style w:type="paragraph" w:styleId="17">
    <w:name w:val="footnote text"/>
    <w:basedOn w:val="1"/>
    <w:link w:val="39"/>
    <w:unhideWhenUsed/>
    <w:qFormat/>
    <w:uiPriority w:val="99"/>
    <w:pPr>
      <w:snapToGrid w:val="0"/>
      <w:jc w:val="left"/>
    </w:pPr>
    <w:rPr>
      <w:rFonts w:ascii="Times New Roman" w:hAnsi="Times New Roman"/>
      <w:kern w:val="0"/>
      <w:sz w:val="18"/>
      <w:szCs w:val="18"/>
    </w:rPr>
  </w:style>
  <w:style w:type="paragraph" w:styleId="18">
    <w:name w:val="toc 6"/>
    <w:basedOn w:val="1"/>
    <w:next w:val="1"/>
    <w:unhideWhenUsed/>
    <w:qFormat/>
    <w:uiPriority w:val="39"/>
    <w:pPr>
      <w:ind w:left="1050"/>
      <w:jc w:val="left"/>
    </w:pPr>
    <w:rPr>
      <w:sz w:val="18"/>
      <w:szCs w:val="18"/>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1680"/>
      <w:jc w:val="left"/>
    </w:pPr>
    <w:rPr>
      <w:sz w:val="18"/>
      <w:szCs w:val="18"/>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8"/>
    <w:qFormat/>
    <w:uiPriority w:val="10"/>
    <w:pPr>
      <w:widowControl/>
      <w:pBdr>
        <w:bottom w:val="single" w:color="4F81BD" w:themeColor="accent1" w:sz="8" w:space="4"/>
      </w:pBdr>
      <w:spacing w:before="50" w:beforeLines="50" w:after="300" w:afterLines="50" w:line="240" w:lineRule="auto"/>
      <w:ind w:firstLine="0" w:firstLineChars="0"/>
      <w:contextualSpacing/>
      <w:jc w:val="center"/>
    </w:pPr>
    <w:rPr>
      <w:rFonts w:eastAsia="方正小标宋简体" w:asciiTheme="majorHAnsi" w:hAnsiTheme="majorHAnsi" w:cstheme="majorBidi"/>
      <w:color w:val="17375E" w:themeColor="text2" w:themeShade="BF"/>
      <w:spacing w:val="5"/>
      <w:kern w:val="28"/>
      <w:sz w:val="52"/>
      <w:szCs w:val="52"/>
    </w:rPr>
  </w:style>
  <w:style w:type="character" w:styleId="24">
    <w:name w:val="Emphasis"/>
    <w:basedOn w:val="23"/>
    <w:qFormat/>
    <w:uiPriority w:val="20"/>
    <w:rPr>
      <w:i/>
      <w:iCs/>
    </w:rPr>
  </w:style>
  <w:style w:type="character" w:styleId="25">
    <w:name w:val="Hyperlink"/>
    <w:unhideWhenUsed/>
    <w:qFormat/>
    <w:uiPriority w:val="99"/>
    <w:rPr>
      <w:color w:val="0000FF"/>
      <w:u w:val="single"/>
    </w:rPr>
  </w:style>
  <w:style w:type="character" w:styleId="26">
    <w:name w:val="annotation reference"/>
    <w:unhideWhenUsed/>
    <w:qFormat/>
    <w:uiPriority w:val="99"/>
    <w:rPr>
      <w:sz w:val="16"/>
      <w:szCs w:val="16"/>
    </w:rPr>
  </w:style>
  <w:style w:type="character" w:styleId="27">
    <w:name w:val="footnote reference"/>
    <w:unhideWhenUsed/>
    <w:qFormat/>
    <w:uiPriority w:val="99"/>
    <w:rPr>
      <w:vertAlign w:val="superscript"/>
    </w:rPr>
  </w:style>
  <w:style w:type="table" w:styleId="29">
    <w:name w:val="Table Grid"/>
    <w:basedOn w:val="2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0">
    <w:name w:val="标题 1 Char"/>
    <w:basedOn w:val="23"/>
    <w:link w:val="2"/>
    <w:qFormat/>
    <w:uiPriority w:val="9"/>
    <w:rPr>
      <w:rFonts w:ascii="黑体" w:hAnsi="黑体" w:eastAsia="黑体" w:cs="Times New Roman"/>
      <w:bCs/>
      <w:kern w:val="44"/>
      <w:sz w:val="30"/>
      <w:szCs w:val="44"/>
    </w:rPr>
  </w:style>
  <w:style w:type="character" w:customStyle="1" w:styleId="31">
    <w:name w:val="标题 2 Char"/>
    <w:basedOn w:val="23"/>
    <w:link w:val="3"/>
    <w:qFormat/>
    <w:uiPriority w:val="9"/>
    <w:rPr>
      <w:rFonts w:ascii="仿宋_GB2312" w:hAnsi="仿宋_GB2312" w:eastAsia="仿宋_GB2312" w:cs="Times New Roman"/>
      <w:b/>
      <w:bCs/>
      <w:kern w:val="0"/>
      <w:sz w:val="28"/>
      <w:szCs w:val="32"/>
    </w:rPr>
  </w:style>
  <w:style w:type="character" w:customStyle="1" w:styleId="32">
    <w:name w:val="标题 3 Char"/>
    <w:basedOn w:val="23"/>
    <w:link w:val="4"/>
    <w:qFormat/>
    <w:uiPriority w:val="9"/>
    <w:rPr>
      <w:rFonts w:ascii="Times New Roman" w:hAnsi="Times New Roman" w:eastAsia="仿宋_GB2312" w:cs="Times New Roman"/>
      <w:bCs/>
      <w:kern w:val="0"/>
      <w:sz w:val="28"/>
      <w:szCs w:val="32"/>
    </w:rPr>
  </w:style>
  <w:style w:type="character" w:customStyle="1" w:styleId="33">
    <w:name w:val="批注文字 Char"/>
    <w:basedOn w:val="23"/>
    <w:link w:val="6"/>
    <w:semiHidden/>
    <w:qFormat/>
    <w:uiPriority w:val="99"/>
    <w:rPr>
      <w:rFonts w:ascii="Calibri" w:hAnsi="Calibri" w:eastAsia="宋体" w:cs="Times New Roman"/>
    </w:rPr>
  </w:style>
  <w:style w:type="character" w:customStyle="1" w:styleId="34">
    <w:name w:val="批注主题 Char"/>
    <w:basedOn w:val="33"/>
    <w:link w:val="5"/>
    <w:qFormat/>
    <w:uiPriority w:val="99"/>
    <w:rPr>
      <w:rFonts w:ascii="Times New Roman" w:hAnsi="Times New Roman" w:eastAsia="宋体" w:cs="Times New Roman"/>
      <w:b/>
      <w:bCs/>
      <w:kern w:val="0"/>
      <w:sz w:val="20"/>
      <w:szCs w:val="20"/>
    </w:rPr>
  </w:style>
  <w:style w:type="character" w:customStyle="1" w:styleId="35">
    <w:name w:val="日期 Char"/>
    <w:basedOn w:val="23"/>
    <w:link w:val="11"/>
    <w:qFormat/>
    <w:uiPriority w:val="99"/>
    <w:rPr>
      <w:rFonts w:ascii="Calibri" w:hAnsi="Calibri" w:eastAsia="宋体" w:cs="Times New Roman"/>
    </w:rPr>
  </w:style>
  <w:style w:type="character" w:customStyle="1" w:styleId="36">
    <w:name w:val="批注框文本 Char"/>
    <w:basedOn w:val="23"/>
    <w:link w:val="12"/>
    <w:qFormat/>
    <w:uiPriority w:val="99"/>
    <w:rPr>
      <w:rFonts w:ascii="Times New Roman" w:hAnsi="Times New Roman" w:eastAsia="宋体" w:cs="Times New Roman"/>
      <w:kern w:val="0"/>
      <w:sz w:val="18"/>
      <w:szCs w:val="18"/>
    </w:rPr>
  </w:style>
  <w:style w:type="character" w:customStyle="1" w:styleId="37">
    <w:name w:val="页脚 Char"/>
    <w:basedOn w:val="23"/>
    <w:link w:val="13"/>
    <w:qFormat/>
    <w:uiPriority w:val="99"/>
    <w:rPr>
      <w:rFonts w:ascii="Times New Roman" w:hAnsi="Times New Roman" w:eastAsia="宋体" w:cs="Times New Roman"/>
      <w:kern w:val="0"/>
      <w:sz w:val="18"/>
      <w:szCs w:val="18"/>
    </w:rPr>
  </w:style>
  <w:style w:type="character" w:customStyle="1" w:styleId="38">
    <w:name w:val="页眉 Char"/>
    <w:basedOn w:val="23"/>
    <w:link w:val="14"/>
    <w:qFormat/>
    <w:uiPriority w:val="99"/>
    <w:rPr>
      <w:rFonts w:ascii="Times New Roman" w:hAnsi="Times New Roman" w:eastAsia="宋体" w:cs="Times New Roman"/>
      <w:kern w:val="0"/>
      <w:sz w:val="18"/>
      <w:szCs w:val="18"/>
    </w:rPr>
  </w:style>
  <w:style w:type="character" w:customStyle="1" w:styleId="39">
    <w:name w:val="脚注文本 Char"/>
    <w:basedOn w:val="23"/>
    <w:link w:val="17"/>
    <w:qFormat/>
    <w:uiPriority w:val="99"/>
    <w:rPr>
      <w:rFonts w:ascii="Times New Roman" w:hAnsi="Times New Roman" w:eastAsia="宋体" w:cs="Times New Roman"/>
      <w:kern w:val="0"/>
      <w:sz w:val="18"/>
      <w:szCs w:val="18"/>
    </w:rPr>
  </w:style>
  <w:style w:type="paragraph" w:customStyle="1" w:styleId="40">
    <w:name w:val="TOC 标题1"/>
    <w:basedOn w:val="2"/>
    <w:next w:val="1"/>
    <w:unhideWhenUsed/>
    <w:qFormat/>
    <w:uiPriority w:val="39"/>
    <w:pPr>
      <w:outlineLvl w:val="9"/>
    </w:pPr>
  </w:style>
  <w:style w:type="paragraph" w:customStyle="1" w:styleId="41">
    <w:name w:val="自 大标题"/>
    <w:basedOn w:val="1"/>
    <w:link w:val="54"/>
    <w:qFormat/>
    <w:uiPriority w:val="0"/>
    <w:pPr>
      <w:ind w:firstLine="600"/>
    </w:pPr>
    <w:rPr>
      <w:rFonts w:ascii="华文中宋" w:hAnsi="华文中宋" w:eastAsia="华文中宋"/>
      <w:kern w:val="0"/>
      <w:sz w:val="30"/>
      <w:szCs w:val="30"/>
    </w:rPr>
  </w:style>
  <w:style w:type="paragraph" w:customStyle="1" w:styleId="42">
    <w:name w:val="自 标题"/>
    <w:basedOn w:val="3"/>
    <w:link w:val="55"/>
    <w:qFormat/>
    <w:uiPriority w:val="0"/>
    <w:rPr>
      <w:rFonts w:ascii="华文中宋" w:hAnsi="华文中宋"/>
      <w:szCs w:val="44"/>
    </w:rPr>
  </w:style>
  <w:style w:type="paragraph" w:customStyle="1" w:styleId="43">
    <w:name w:val="部分标题"/>
    <w:basedOn w:val="2"/>
    <w:link w:val="57"/>
    <w:qFormat/>
    <w:uiPriority w:val="0"/>
    <w:pPr>
      <w:spacing w:before="0" w:after="0"/>
      <w:jc w:val="center"/>
    </w:pPr>
    <w:rPr>
      <w:rFonts w:ascii="华文中宋" w:hAnsi="华文中宋" w:eastAsia="华文中宋"/>
    </w:rPr>
  </w:style>
  <w:style w:type="paragraph" w:customStyle="1" w:styleId="44">
    <w:name w:val="节标题"/>
    <w:basedOn w:val="1"/>
    <w:link w:val="58"/>
    <w:qFormat/>
    <w:uiPriority w:val="0"/>
    <w:pPr>
      <w:ind w:firstLine="600"/>
    </w:pPr>
    <w:rPr>
      <w:rFonts w:ascii="华文中宋" w:hAnsi="华文中宋" w:eastAsia="华文中宋"/>
      <w:kern w:val="0"/>
      <w:sz w:val="30"/>
      <w:szCs w:val="30"/>
    </w:rPr>
  </w:style>
  <w:style w:type="paragraph" w:customStyle="1" w:styleId="45">
    <w:name w:val="题目"/>
    <w:basedOn w:val="1"/>
    <w:link w:val="59"/>
    <w:qFormat/>
    <w:uiPriority w:val="0"/>
    <w:pPr>
      <w:ind w:firstLine="600"/>
    </w:pPr>
    <w:rPr>
      <w:rFonts w:ascii="华文中宋" w:hAnsi="华文中宋" w:eastAsia="华文中宋"/>
      <w:kern w:val="0"/>
      <w:sz w:val="30"/>
      <w:szCs w:val="30"/>
    </w:rPr>
  </w:style>
  <w:style w:type="paragraph" w:customStyle="1" w:styleId="46">
    <w:name w:val="无间隔1"/>
    <w:qFormat/>
    <w:uiPriority w:val="1"/>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47">
    <w:name w:val="样式1"/>
    <w:basedOn w:val="2"/>
    <w:link w:val="60"/>
    <w:qFormat/>
    <w:uiPriority w:val="0"/>
    <w:pPr>
      <w:spacing w:before="0" w:after="0"/>
      <w:ind w:firstLine="200"/>
    </w:pPr>
    <w:rPr>
      <w:rFonts w:eastAsia="华文中宋"/>
    </w:rPr>
  </w:style>
  <w:style w:type="paragraph" w:customStyle="1" w:styleId="48">
    <w:name w:val="列出段落1"/>
    <w:basedOn w:val="1"/>
    <w:qFormat/>
    <w:uiPriority w:val="34"/>
    <w:pPr>
      <w:ind w:firstLine="420"/>
    </w:pPr>
  </w:style>
  <w:style w:type="paragraph" w:customStyle="1" w:styleId="49">
    <w:name w:val="Default"/>
    <w:qFormat/>
    <w:uiPriority w:val="0"/>
    <w:pPr>
      <w:widowControl w:val="0"/>
      <w:autoSpaceDE w:val="0"/>
      <w:autoSpaceDN w:val="0"/>
      <w:adjustRightInd w:val="0"/>
      <w:spacing w:after="160" w:line="259" w:lineRule="auto"/>
    </w:pPr>
    <w:rPr>
      <w:rFonts w:ascii="EUAlbertina" w:hAnsi="Calibri" w:eastAsia="EUAlbertina" w:cs="EUAlbertina"/>
      <w:color w:val="000000"/>
      <w:sz w:val="24"/>
      <w:szCs w:val="24"/>
      <w:lang w:val="en-US" w:eastAsia="zh-CN" w:bidi="ar-SA"/>
    </w:rPr>
  </w:style>
  <w:style w:type="paragraph" w:customStyle="1" w:styleId="50">
    <w:name w:val="段"/>
    <w:link w:val="61"/>
    <w:qFormat/>
    <w:uiPriority w:val="0"/>
    <w:pPr>
      <w:autoSpaceDE w:val="0"/>
      <w:autoSpaceDN w:val="0"/>
      <w:spacing w:after="160" w:line="259" w:lineRule="auto"/>
      <w:ind w:firstLine="200" w:firstLineChars="200"/>
      <w:jc w:val="both"/>
    </w:pPr>
    <w:rPr>
      <w:rFonts w:ascii="宋体" w:hAnsi="Times New Roman" w:eastAsia="宋体" w:cs="Times New Roman"/>
      <w:kern w:val="2"/>
      <w:sz w:val="21"/>
      <w:szCs w:val="24"/>
      <w:lang w:val="en-US" w:eastAsia="zh-CN" w:bidi="ar-SA"/>
    </w:rPr>
  </w:style>
  <w:style w:type="paragraph" w:customStyle="1" w:styleId="51">
    <w:name w:val="列项——（一级）"/>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52">
    <w:name w:val="修订1"/>
    <w:hidden/>
    <w:unhideWhenUsed/>
    <w:qFormat/>
    <w:uiPriority w:val="99"/>
    <w:pPr>
      <w:spacing w:after="160" w:line="259" w:lineRule="auto"/>
    </w:pPr>
    <w:rPr>
      <w:rFonts w:ascii="Calibri" w:hAnsi="Calibri" w:eastAsia="宋体" w:cs="Times New Roman"/>
      <w:kern w:val="2"/>
      <w:sz w:val="21"/>
      <w:szCs w:val="22"/>
      <w:lang w:val="en-US" w:eastAsia="zh-CN" w:bidi="ar-SA"/>
    </w:rPr>
  </w:style>
  <w:style w:type="paragraph" w:customStyle="1" w:styleId="53">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character" w:customStyle="1" w:styleId="54">
    <w:name w:val="自 大标题 Char"/>
    <w:link w:val="41"/>
    <w:qFormat/>
    <w:uiPriority w:val="0"/>
    <w:rPr>
      <w:rFonts w:ascii="华文中宋" w:hAnsi="华文中宋" w:eastAsia="华文中宋" w:cs="Times New Roman"/>
      <w:kern w:val="0"/>
      <w:sz w:val="30"/>
      <w:szCs w:val="30"/>
    </w:rPr>
  </w:style>
  <w:style w:type="character" w:customStyle="1" w:styleId="55">
    <w:name w:val="自 标题 Char"/>
    <w:link w:val="42"/>
    <w:qFormat/>
    <w:uiPriority w:val="0"/>
    <w:rPr>
      <w:rFonts w:ascii="华文中宋" w:hAnsi="华文中宋" w:eastAsia="华文中宋" w:cs="Times New Roman"/>
      <w:b/>
      <w:bCs/>
      <w:kern w:val="0"/>
      <w:sz w:val="44"/>
      <w:szCs w:val="44"/>
    </w:rPr>
  </w:style>
  <w:style w:type="character" w:customStyle="1" w:styleId="56">
    <w:name w:val="占位符文本1"/>
    <w:semiHidden/>
    <w:qFormat/>
    <w:uiPriority w:val="99"/>
    <w:rPr>
      <w:color w:val="808080"/>
    </w:rPr>
  </w:style>
  <w:style w:type="character" w:customStyle="1" w:styleId="57">
    <w:name w:val="部分标题 Char"/>
    <w:link w:val="43"/>
    <w:qFormat/>
    <w:uiPriority w:val="0"/>
    <w:rPr>
      <w:rFonts w:ascii="华文中宋" w:hAnsi="华文中宋" w:eastAsia="华文中宋" w:cs="Times New Roman"/>
      <w:b/>
      <w:bCs/>
      <w:kern w:val="44"/>
      <w:sz w:val="44"/>
      <w:szCs w:val="44"/>
    </w:rPr>
  </w:style>
  <w:style w:type="character" w:customStyle="1" w:styleId="58">
    <w:name w:val="节标题 Char"/>
    <w:link w:val="44"/>
    <w:qFormat/>
    <w:uiPriority w:val="0"/>
    <w:rPr>
      <w:rFonts w:ascii="华文中宋" w:hAnsi="华文中宋" w:eastAsia="华文中宋" w:cs="Times New Roman"/>
      <w:kern w:val="0"/>
      <w:sz w:val="30"/>
      <w:szCs w:val="30"/>
    </w:rPr>
  </w:style>
  <w:style w:type="character" w:customStyle="1" w:styleId="59">
    <w:name w:val="题目 Char"/>
    <w:link w:val="45"/>
    <w:qFormat/>
    <w:uiPriority w:val="0"/>
    <w:rPr>
      <w:rFonts w:ascii="华文中宋" w:hAnsi="华文中宋" w:eastAsia="华文中宋" w:cs="Times New Roman"/>
      <w:kern w:val="0"/>
      <w:sz w:val="30"/>
      <w:szCs w:val="30"/>
    </w:rPr>
  </w:style>
  <w:style w:type="character" w:customStyle="1" w:styleId="60">
    <w:name w:val="样式1 Char"/>
    <w:link w:val="47"/>
    <w:qFormat/>
    <w:uiPriority w:val="0"/>
    <w:rPr>
      <w:rFonts w:ascii="Times New Roman" w:hAnsi="Times New Roman" w:eastAsia="华文中宋" w:cs="Times New Roman"/>
      <w:b/>
      <w:bCs/>
      <w:kern w:val="44"/>
      <w:sz w:val="30"/>
      <w:szCs w:val="44"/>
    </w:rPr>
  </w:style>
  <w:style w:type="character" w:customStyle="1" w:styleId="61">
    <w:name w:val="段 Char"/>
    <w:link w:val="50"/>
    <w:qFormat/>
    <w:uiPriority w:val="0"/>
    <w:rPr>
      <w:rFonts w:ascii="宋体" w:hAnsi="Times New Roman" w:eastAsia="宋体" w:cs="Times New Roman"/>
      <w:szCs w:val="24"/>
    </w:rPr>
  </w:style>
  <w:style w:type="paragraph" w:styleId="62">
    <w:name w:val="List Paragraph"/>
    <w:basedOn w:val="1"/>
    <w:unhideWhenUsed/>
    <w:qFormat/>
    <w:uiPriority w:val="34"/>
    <w:pPr>
      <w:ind w:firstLine="420"/>
    </w:pPr>
  </w:style>
  <w:style w:type="paragraph" w:customStyle="1" w:styleId="63">
    <w:name w:val="标题1-1"/>
    <w:link w:val="66"/>
    <w:qFormat/>
    <w:uiPriority w:val="0"/>
    <w:pPr>
      <w:spacing w:before="100" w:beforeLines="100" w:after="50" w:afterLines="50"/>
      <w:ind w:firstLine="640" w:firstLineChars="200"/>
    </w:pPr>
    <w:rPr>
      <w:rFonts w:ascii="Times New Roman" w:hAnsi="Times New Roman" w:eastAsia="黑体" w:cstheme="minorBidi"/>
      <w:sz w:val="24"/>
      <w:lang w:val="en-US" w:eastAsia="zh-CN" w:bidi="ar-SA"/>
    </w:rPr>
  </w:style>
  <w:style w:type="paragraph" w:customStyle="1" w:styleId="64">
    <w:name w:val="正文1-1"/>
    <w:link w:val="65"/>
    <w:qFormat/>
    <w:uiPriority w:val="0"/>
    <w:pPr>
      <w:spacing w:line="300" w:lineRule="auto"/>
      <w:ind w:firstLine="640" w:firstLineChars="200"/>
    </w:pPr>
    <w:rPr>
      <w:rFonts w:ascii="Times New Roman" w:hAnsi="Times New Roman" w:eastAsia="宋体" w:cstheme="minorBidi"/>
      <w:sz w:val="21"/>
      <w:lang w:val="en-US" w:eastAsia="zh-CN" w:bidi="ar-SA"/>
    </w:rPr>
  </w:style>
  <w:style w:type="character" w:customStyle="1" w:styleId="65">
    <w:name w:val="正文1-1 Char"/>
    <w:link w:val="64"/>
    <w:qFormat/>
    <w:uiPriority w:val="0"/>
    <w:rPr>
      <w:rFonts w:ascii="Times New Roman" w:hAnsi="Times New Roman" w:eastAsia="宋体"/>
      <w:sz w:val="21"/>
    </w:rPr>
  </w:style>
  <w:style w:type="character" w:customStyle="1" w:styleId="66">
    <w:name w:val="标题1-1 Char"/>
    <w:link w:val="63"/>
    <w:qFormat/>
    <w:uiPriority w:val="0"/>
    <w:rPr>
      <w:rFonts w:ascii="Times New Roman" w:hAnsi="Times New Roman" w:eastAsia="黑体"/>
      <w:sz w:val="24"/>
    </w:rPr>
  </w:style>
  <w:style w:type="table" w:customStyle="1" w:styleId="67">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8">
    <w:name w:val="标题 Char"/>
    <w:basedOn w:val="23"/>
    <w:link w:val="22"/>
    <w:qFormat/>
    <w:uiPriority w:val="10"/>
    <w:rPr>
      <w:rFonts w:eastAsia="方正小标宋简体" w:asciiTheme="majorHAnsi" w:hAnsiTheme="majorHAnsi" w:cstheme="majorBidi"/>
      <w:color w:val="17375E" w:themeColor="text2" w:themeShade="BF"/>
      <w:spacing w:val="5"/>
      <w:kern w:val="28"/>
      <w:sz w:val="52"/>
      <w:szCs w:val="52"/>
    </w:rPr>
  </w:style>
  <w:style w:type="paragraph" w:customStyle="1" w:styleId="69">
    <w:name w:val="表格"/>
    <w:basedOn w:val="1"/>
    <w:qFormat/>
    <w:uiPriority w:val="0"/>
    <w:pPr>
      <w:widowControl/>
      <w:spacing w:after="50" w:afterLines="50" w:line="240" w:lineRule="exact"/>
      <w:ind w:firstLine="0" w:firstLineChars="0"/>
      <w:jc w:val="left"/>
    </w:pPr>
    <w:rPr>
      <w:rFonts w:ascii="Times New Roman" w:hAnsi="Times New Roman" w:eastAsia="宋体" w:cstheme="minorBidi"/>
      <w:kern w:val="0"/>
      <w:sz w:val="21"/>
    </w:rPr>
  </w:style>
  <w:style w:type="paragraph" w:customStyle="1" w:styleId="70">
    <w:name w:val="表标题"/>
    <w:basedOn w:val="1"/>
    <w:qFormat/>
    <w:uiPriority w:val="0"/>
    <w:pPr>
      <w:widowControl/>
      <w:spacing w:before="50" w:beforeLines="50" w:after="50" w:afterLines="50"/>
      <w:ind w:firstLine="0" w:firstLineChars="0"/>
      <w:jc w:val="center"/>
    </w:pPr>
    <w:rPr>
      <w:rFonts w:ascii="Times New Roman" w:hAnsi="Times New Roman" w:eastAsia="黑体" w:cstheme="minorBidi"/>
      <w:kern w:val="0"/>
      <w:sz w:val="21"/>
    </w:rPr>
  </w:style>
  <w:style w:type="paragraph" w:customStyle="1" w:styleId="71">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6.wmf"/><Relationship Id="rId27" Type="http://schemas.openxmlformats.org/officeDocument/2006/relationships/oleObject" Target="embeddings/oleObject3.bin"/><Relationship Id="rId26" Type="http://schemas.openxmlformats.org/officeDocument/2006/relationships/image" Target="media/image5.wmf"/><Relationship Id="rId25" Type="http://schemas.openxmlformats.org/officeDocument/2006/relationships/oleObject" Target="embeddings/oleObject2.bin"/><Relationship Id="rId24" Type="http://schemas.openxmlformats.org/officeDocument/2006/relationships/image" Target="media/image4.wmf"/><Relationship Id="rId23" Type="http://schemas.openxmlformats.org/officeDocument/2006/relationships/oleObject" Target="embeddings/oleObject1.bin"/><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57</Pages>
  <Words>4436</Words>
  <Characters>25288</Characters>
  <Lines>210</Lines>
  <Paragraphs>59</Paragraphs>
  <TotalTime>4</TotalTime>
  <ScaleCrop>false</ScaleCrop>
  <LinksUpToDate>false</LinksUpToDate>
  <CharactersWithSpaces>29665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2020-07-27T22:56:00Z</dcterms:created>
  <dc:creator>林庆斌</dc:creator>
  <cp:lastModifiedBy>HJ0LIUQB</cp:lastModifiedBy>
  <cp:lastPrinted>2020-07-22T20:27:00Z</cp:lastPrinted>
  <dcterms:modified xsi:type="dcterms:W3CDTF">2020-07-29T07:03:25Z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MSIP_Label_645dad89-2096-47a1-b1b1-c9d057667e94_Enabled">
    <vt:lpwstr>True</vt:lpwstr>
  </property>
  <property fmtid="{D5CDD505-2E9C-101B-9397-08002B2CF9AE}" pid="4" name="MSIP_Label_645dad89-2096-47a1-b1b1-c9d057667e94_SiteId">
    <vt:lpwstr>e4e1abd9-eac7-4a71-ab52-da5c998aa7ba</vt:lpwstr>
  </property>
  <property fmtid="{D5CDD505-2E9C-101B-9397-08002B2CF9AE}" pid="5" name="MSIP_Label_645dad89-2096-47a1-b1b1-c9d057667e94_Owner">
    <vt:lpwstr>ted.xing@rd.loreal.com</vt:lpwstr>
  </property>
  <property fmtid="{D5CDD505-2E9C-101B-9397-08002B2CF9AE}" pid="6" name="MSIP_Label_645dad89-2096-47a1-b1b1-c9d057667e94_SetDate">
    <vt:lpwstr>2019-09-19T08:19:25.5928955Z</vt:lpwstr>
  </property>
  <property fmtid="{D5CDD505-2E9C-101B-9397-08002B2CF9AE}" pid="7" name="MSIP_Label_645dad89-2096-47a1-b1b1-c9d057667e94_Name">
    <vt:lpwstr>C1 - Internal use</vt:lpwstr>
  </property>
  <property fmtid="{D5CDD505-2E9C-101B-9397-08002B2CF9AE}" pid="8" name="MSIP_Label_645dad89-2096-47a1-b1b1-c9d057667e94_Application">
    <vt:lpwstr>Microsoft Azure Information Protection</vt:lpwstr>
  </property>
  <property fmtid="{D5CDD505-2E9C-101B-9397-08002B2CF9AE}" pid="9" name="MSIP_Label_645dad89-2096-47a1-b1b1-c9d057667e94_Extended_MSFT_Method">
    <vt:lpwstr>Automatic</vt:lpwstr>
  </property>
  <property fmtid="{D5CDD505-2E9C-101B-9397-08002B2CF9AE}" pid="10" name="Sensitivity">
    <vt:lpwstr>C1 - Internal use</vt:lpwstr>
  </property>
</Properties>
</file>