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19E" w:rsidRPr="005370AD" w:rsidRDefault="00F2319E" w:rsidP="00F2319E">
      <w:pPr>
        <w:spacing w:line="520" w:lineRule="exact"/>
        <w:rPr>
          <w:rFonts w:ascii="Times New Roman" w:eastAsia="黑体" w:hAnsi="Times New Roman"/>
          <w:color w:val="000000"/>
          <w:sz w:val="32"/>
          <w:szCs w:val="32"/>
        </w:rPr>
      </w:pPr>
      <w:r w:rsidRPr="005370AD">
        <w:rPr>
          <w:rFonts w:ascii="Times New Roman" w:eastAsia="黑体" w:hAnsi="Times New Roman"/>
          <w:color w:val="000000"/>
          <w:sz w:val="32"/>
          <w:szCs w:val="32"/>
        </w:rPr>
        <w:t>附件</w:t>
      </w:r>
      <w:r w:rsidRPr="005370AD">
        <w:rPr>
          <w:rFonts w:ascii="Times New Roman" w:eastAsia="黑体" w:hAnsi="Times New Roman" w:hint="eastAsia"/>
          <w:color w:val="000000"/>
          <w:sz w:val="32"/>
          <w:szCs w:val="32"/>
        </w:rPr>
        <w:t>4</w:t>
      </w:r>
    </w:p>
    <w:p w:rsidR="00F2319E" w:rsidRPr="005370AD" w:rsidRDefault="00F2319E" w:rsidP="00F2319E">
      <w:pPr>
        <w:spacing w:line="520" w:lineRule="exact"/>
        <w:jc w:val="center"/>
        <w:rPr>
          <w:rFonts w:ascii="Times New Roman" w:eastAsia="方正小标宋简体" w:hAnsi="Times New Roman"/>
          <w:color w:val="000000"/>
          <w:sz w:val="44"/>
          <w:szCs w:val="44"/>
        </w:rPr>
      </w:pPr>
      <w:r w:rsidRPr="005370AD">
        <w:rPr>
          <w:rFonts w:ascii="Times New Roman" w:eastAsia="方正小标宋简体" w:hAnsi="Times New Roman"/>
          <w:color w:val="000000"/>
          <w:sz w:val="44"/>
          <w:szCs w:val="44"/>
        </w:rPr>
        <w:t>天津市</w:t>
      </w:r>
      <w:r w:rsidRPr="005370AD">
        <w:rPr>
          <w:rFonts w:ascii="Times New Roman" w:eastAsia="方正小标宋简体" w:hAnsi="Times New Roman"/>
          <w:color w:val="000000"/>
          <w:sz w:val="44"/>
          <w:szCs w:val="44"/>
        </w:rPr>
        <w:t>201</w:t>
      </w:r>
      <w:r>
        <w:rPr>
          <w:rFonts w:ascii="Times New Roman" w:eastAsia="方正小标宋简体" w:hAnsi="Times New Roman" w:hint="eastAsia"/>
          <w:color w:val="000000"/>
          <w:sz w:val="44"/>
          <w:szCs w:val="44"/>
        </w:rPr>
        <w:t>6</w:t>
      </w:r>
      <w:r w:rsidRPr="005370AD">
        <w:rPr>
          <w:rFonts w:ascii="Times New Roman" w:eastAsia="方正小标宋简体" w:hAnsi="Times New Roman"/>
          <w:color w:val="000000"/>
          <w:sz w:val="44"/>
          <w:szCs w:val="44"/>
        </w:rPr>
        <w:t>年下半年非基本药物品种药品抽验不合格情况汇总表</w:t>
      </w:r>
      <w:r w:rsidRPr="005370AD">
        <w:rPr>
          <w:rFonts w:ascii="Times New Roman" w:eastAsia="方正小标宋简体" w:hAnsi="Times New Roman"/>
          <w:color w:val="000000"/>
          <w:sz w:val="44"/>
          <w:szCs w:val="44"/>
        </w:rPr>
        <w:t xml:space="preserve">                                                                          </w:t>
      </w:r>
      <w:r w:rsidRPr="005370AD">
        <w:rPr>
          <w:rFonts w:ascii="Times New Roman" w:eastAsia="方正小标宋简体" w:hAnsi="Times New Roman"/>
          <w:color w:val="000000"/>
          <w:sz w:val="44"/>
          <w:szCs w:val="44"/>
        </w:rPr>
        <w:t>（表</w:t>
      </w:r>
      <w:r w:rsidRPr="005370AD">
        <w:rPr>
          <w:rFonts w:ascii="Times New Roman" w:eastAsia="方正小标宋简体" w:hAnsi="Times New Roman" w:hint="eastAsia"/>
          <w:color w:val="000000"/>
          <w:sz w:val="44"/>
          <w:szCs w:val="44"/>
        </w:rPr>
        <w:t>3</w:t>
      </w:r>
      <w:r w:rsidRPr="005370AD">
        <w:rPr>
          <w:rFonts w:ascii="Times New Roman" w:eastAsia="方正小标宋简体" w:hAnsi="Times New Roman"/>
          <w:color w:val="000000"/>
          <w:sz w:val="44"/>
          <w:szCs w:val="44"/>
        </w:rPr>
        <w:t>：经营不合格中药材或饮片部分）</w:t>
      </w:r>
    </w:p>
    <w:tbl>
      <w:tblPr>
        <w:tblW w:w="14574" w:type="dxa"/>
        <w:jc w:val="center"/>
        <w:tblInd w:w="-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1276"/>
        <w:gridCol w:w="1134"/>
        <w:gridCol w:w="2469"/>
        <w:gridCol w:w="2693"/>
        <w:gridCol w:w="2410"/>
        <w:gridCol w:w="2295"/>
        <w:gridCol w:w="1446"/>
      </w:tblGrid>
      <w:tr w:rsidR="00F2319E" w:rsidRPr="005370AD" w:rsidTr="00235212">
        <w:trPr>
          <w:trHeight w:val="275"/>
          <w:jc w:val="center"/>
        </w:trPr>
        <w:tc>
          <w:tcPr>
            <w:tcW w:w="851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00" w:lineRule="exac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00" w:lineRule="exac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  <w:t>药品名称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00" w:lineRule="exac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  <w:t>批号</w:t>
            </w:r>
          </w:p>
        </w:tc>
        <w:tc>
          <w:tcPr>
            <w:tcW w:w="2469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00" w:lineRule="exac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  <w:t>不合格项目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00" w:lineRule="exac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  <w:t>供样单位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00" w:lineRule="exac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b/>
                <w:color w:val="000000"/>
                <w:kern w:val="0"/>
                <w:sz w:val="22"/>
              </w:rPr>
              <w:t>检验依据</w:t>
            </w:r>
          </w:p>
        </w:tc>
        <w:tc>
          <w:tcPr>
            <w:tcW w:w="2295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300" w:lineRule="exac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b/>
                <w:color w:val="000000"/>
                <w:kern w:val="0"/>
                <w:sz w:val="22"/>
              </w:rPr>
              <w:t>检验单位</w:t>
            </w:r>
          </w:p>
        </w:tc>
        <w:tc>
          <w:tcPr>
            <w:tcW w:w="144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spacing w:line="300" w:lineRule="exact"/>
              <w:jc w:val="center"/>
              <w:rPr>
                <w:rFonts w:ascii="宋体" w:hAnsi="宋体"/>
                <w:b/>
                <w:bCs/>
                <w:color w:val="00000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sz w:val="22"/>
              </w:rPr>
              <w:t>抽样单位</w:t>
            </w:r>
          </w:p>
        </w:tc>
      </w:tr>
      <w:tr w:rsidR="00F2319E" w:rsidRPr="005370AD" w:rsidTr="00235212">
        <w:trPr>
          <w:trHeight w:val="422"/>
          <w:jc w:val="center"/>
        </w:trPr>
        <w:tc>
          <w:tcPr>
            <w:tcW w:w="851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红花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140101</w:t>
            </w:r>
          </w:p>
        </w:tc>
        <w:tc>
          <w:tcPr>
            <w:tcW w:w="2469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【检查】总灰分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天津市津南区杏园堂药房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《中国药典》2010版第一增补本</w:t>
            </w:r>
          </w:p>
        </w:tc>
        <w:tc>
          <w:tcPr>
            <w:tcW w:w="2295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天津市</w:t>
            </w: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津南区</w:t>
            </w: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药品检验所</w:t>
            </w:r>
          </w:p>
        </w:tc>
        <w:tc>
          <w:tcPr>
            <w:tcW w:w="144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津南局</w:t>
            </w:r>
          </w:p>
        </w:tc>
      </w:tr>
      <w:tr w:rsidR="00F2319E" w:rsidRPr="005370AD" w:rsidTr="00235212">
        <w:trPr>
          <w:trHeight w:val="402"/>
          <w:jc w:val="center"/>
        </w:trPr>
        <w:tc>
          <w:tcPr>
            <w:tcW w:w="851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檀香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150119</w:t>
            </w:r>
          </w:p>
        </w:tc>
        <w:tc>
          <w:tcPr>
            <w:tcW w:w="2469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【性状】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天津市津南欣欣药店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《中国药典》2010版一部</w:t>
            </w:r>
          </w:p>
        </w:tc>
        <w:tc>
          <w:tcPr>
            <w:tcW w:w="2295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天津市</w:t>
            </w: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津南区</w:t>
            </w: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药品检验所</w:t>
            </w:r>
          </w:p>
        </w:tc>
        <w:tc>
          <w:tcPr>
            <w:tcW w:w="144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津南局</w:t>
            </w:r>
          </w:p>
        </w:tc>
      </w:tr>
      <w:tr w:rsidR="00F2319E" w:rsidRPr="005370AD" w:rsidTr="00235212">
        <w:trPr>
          <w:trHeight w:val="410"/>
          <w:jc w:val="center"/>
        </w:trPr>
        <w:tc>
          <w:tcPr>
            <w:tcW w:w="851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白鲜皮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160328</w:t>
            </w:r>
          </w:p>
        </w:tc>
        <w:tc>
          <w:tcPr>
            <w:tcW w:w="2469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【浸出物】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天津滨海荣华中医医院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《中国药典》2015年版一部</w:t>
            </w:r>
          </w:p>
        </w:tc>
        <w:tc>
          <w:tcPr>
            <w:tcW w:w="2295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天津市</w:t>
            </w: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滨海新区</w:t>
            </w: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食品药品检验检测中心</w:t>
            </w:r>
          </w:p>
        </w:tc>
        <w:tc>
          <w:tcPr>
            <w:tcW w:w="144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滨海新区局</w:t>
            </w:r>
          </w:p>
        </w:tc>
      </w:tr>
      <w:tr w:rsidR="00F2319E" w:rsidRPr="005370AD" w:rsidTr="00235212">
        <w:trPr>
          <w:trHeight w:val="404"/>
          <w:jc w:val="center"/>
        </w:trPr>
        <w:tc>
          <w:tcPr>
            <w:tcW w:w="851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地龙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150701</w:t>
            </w:r>
          </w:p>
        </w:tc>
        <w:tc>
          <w:tcPr>
            <w:tcW w:w="2469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【性状】、【检查】总灰分、酸不溶性灰分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天津鑫隆医院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《天津市中药饮片炮制规范》2012版</w:t>
            </w:r>
          </w:p>
        </w:tc>
        <w:tc>
          <w:tcPr>
            <w:tcW w:w="2295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天津市</w:t>
            </w: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滨海新区</w:t>
            </w: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食品药品检验检测中心</w:t>
            </w:r>
          </w:p>
        </w:tc>
        <w:tc>
          <w:tcPr>
            <w:tcW w:w="144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滨海新区局</w:t>
            </w:r>
          </w:p>
        </w:tc>
      </w:tr>
      <w:tr w:rsidR="00F2319E" w:rsidRPr="005370AD" w:rsidTr="00235212">
        <w:trPr>
          <w:trHeight w:val="370"/>
          <w:jc w:val="center"/>
        </w:trPr>
        <w:tc>
          <w:tcPr>
            <w:tcW w:w="851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蒲黄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140201</w:t>
            </w:r>
          </w:p>
        </w:tc>
        <w:tc>
          <w:tcPr>
            <w:tcW w:w="2469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【检查】总灰分、酸不溶性灰分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天津加一堂药房有限公司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《中国药典》2010年版一部</w:t>
            </w:r>
          </w:p>
        </w:tc>
        <w:tc>
          <w:tcPr>
            <w:tcW w:w="2295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天津市宝坻区药品检验所</w:t>
            </w:r>
          </w:p>
        </w:tc>
        <w:tc>
          <w:tcPr>
            <w:tcW w:w="144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宝坻局</w:t>
            </w:r>
          </w:p>
        </w:tc>
      </w:tr>
      <w:tr w:rsidR="00F2319E" w:rsidRPr="005370AD" w:rsidTr="00235212">
        <w:trPr>
          <w:trHeight w:val="506"/>
          <w:jc w:val="center"/>
        </w:trPr>
        <w:tc>
          <w:tcPr>
            <w:tcW w:w="851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菟丝子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140301</w:t>
            </w:r>
          </w:p>
        </w:tc>
        <w:tc>
          <w:tcPr>
            <w:tcW w:w="2469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【检查】总灰分、酸不溶性灰分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天津加一堂药房有限公司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《中国药典》2010年版一部</w:t>
            </w:r>
          </w:p>
        </w:tc>
        <w:tc>
          <w:tcPr>
            <w:tcW w:w="2295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天津市宝坻区药品检验所</w:t>
            </w:r>
          </w:p>
        </w:tc>
        <w:tc>
          <w:tcPr>
            <w:tcW w:w="144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宝坻局</w:t>
            </w:r>
          </w:p>
        </w:tc>
      </w:tr>
      <w:tr w:rsidR="00F2319E" w:rsidRPr="005370AD" w:rsidTr="00235212">
        <w:trPr>
          <w:trHeight w:val="642"/>
          <w:jc w:val="center"/>
        </w:trPr>
        <w:tc>
          <w:tcPr>
            <w:tcW w:w="851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蒲黄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1510001</w:t>
            </w:r>
          </w:p>
        </w:tc>
        <w:tc>
          <w:tcPr>
            <w:tcW w:w="2469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【性状】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、</w:t>
            </w: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【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鉴别</w:t>
            </w: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】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（1）显微鉴别、</w:t>
            </w: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【检查】总灰分、酸不溶性灰分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F2319E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天津武清泉达医院有限</w:t>
            </w:r>
          </w:p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公司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《中国药典》2010年版一部</w:t>
            </w:r>
          </w:p>
        </w:tc>
        <w:tc>
          <w:tcPr>
            <w:tcW w:w="2295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hint="eastAsia"/>
                <w:color w:val="000000"/>
                <w:sz w:val="22"/>
              </w:rPr>
              <w:t>天津市武清区药品检验所</w:t>
            </w:r>
          </w:p>
        </w:tc>
        <w:tc>
          <w:tcPr>
            <w:tcW w:w="144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武清局</w:t>
            </w:r>
          </w:p>
        </w:tc>
      </w:tr>
      <w:tr w:rsidR="00F2319E" w:rsidRPr="005370AD">
        <w:trPr>
          <w:trHeight w:val="595"/>
          <w:jc w:val="center"/>
        </w:trPr>
        <w:tc>
          <w:tcPr>
            <w:tcW w:w="851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hint="eastAsia"/>
                <w:color w:val="000000"/>
                <w:kern w:val="0"/>
                <w:sz w:val="22"/>
              </w:rPr>
              <w:t>紫苏梗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hint="eastAsia"/>
                <w:color w:val="000000"/>
                <w:sz w:val="22"/>
              </w:rPr>
              <w:t>13100016</w:t>
            </w:r>
          </w:p>
        </w:tc>
        <w:tc>
          <w:tcPr>
            <w:tcW w:w="2469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【检查】总灰分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hint="eastAsia"/>
                <w:color w:val="000000"/>
                <w:sz w:val="22"/>
              </w:rPr>
              <w:t>天津市益康祥大药房有限公司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Arial" w:hint="eastAsia"/>
                <w:color w:val="000000"/>
                <w:sz w:val="22"/>
              </w:rPr>
              <w:t>《中国药典》2010年版一部</w:t>
            </w:r>
          </w:p>
        </w:tc>
        <w:tc>
          <w:tcPr>
            <w:tcW w:w="2295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天津市宁河区药品检验所</w:t>
            </w:r>
          </w:p>
        </w:tc>
        <w:tc>
          <w:tcPr>
            <w:tcW w:w="144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hint="eastAsia"/>
                <w:color w:val="000000"/>
                <w:sz w:val="22"/>
              </w:rPr>
              <w:t>宁河局</w:t>
            </w:r>
          </w:p>
        </w:tc>
      </w:tr>
      <w:tr w:rsidR="00F2319E" w:rsidRPr="005370AD" w:rsidTr="00235212">
        <w:trPr>
          <w:trHeight w:val="465"/>
          <w:jc w:val="center"/>
        </w:trPr>
        <w:tc>
          <w:tcPr>
            <w:tcW w:w="851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芡实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16010025</w:t>
            </w:r>
          </w:p>
        </w:tc>
        <w:tc>
          <w:tcPr>
            <w:tcW w:w="2469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【检查】总灰分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F2319E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天津九河医药销售有限</w:t>
            </w:r>
          </w:p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公司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《中国药典》2015年版一部</w:t>
            </w:r>
          </w:p>
        </w:tc>
        <w:tc>
          <w:tcPr>
            <w:tcW w:w="2295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天津市宝坻区药品检验所</w:t>
            </w:r>
          </w:p>
        </w:tc>
        <w:tc>
          <w:tcPr>
            <w:tcW w:w="144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河北局</w:t>
            </w:r>
          </w:p>
        </w:tc>
      </w:tr>
      <w:tr w:rsidR="00F2319E" w:rsidRPr="005370AD" w:rsidTr="00235212">
        <w:trPr>
          <w:trHeight w:val="187"/>
          <w:jc w:val="center"/>
        </w:trPr>
        <w:tc>
          <w:tcPr>
            <w:tcW w:w="851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粉葛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151001</w:t>
            </w:r>
          </w:p>
        </w:tc>
        <w:tc>
          <w:tcPr>
            <w:tcW w:w="2469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【含量测定】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F2319E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天津中新药业滨海有限</w:t>
            </w:r>
          </w:p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公司济之美药房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《中国药典》2010年版第二增补本</w:t>
            </w:r>
          </w:p>
        </w:tc>
        <w:tc>
          <w:tcPr>
            <w:tcW w:w="2295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天津市</w:t>
            </w: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滨海新区</w:t>
            </w: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食品药品检验检测中心</w:t>
            </w:r>
          </w:p>
        </w:tc>
        <w:tc>
          <w:tcPr>
            <w:tcW w:w="144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滨海新区局</w:t>
            </w:r>
          </w:p>
        </w:tc>
      </w:tr>
      <w:tr w:rsidR="00F2319E" w:rsidRPr="005370AD" w:rsidTr="00235212">
        <w:trPr>
          <w:trHeight w:val="181"/>
          <w:jc w:val="center"/>
        </w:trPr>
        <w:tc>
          <w:tcPr>
            <w:tcW w:w="851" w:type="dxa"/>
            <w:shd w:val="clear" w:color="auto" w:fill="FFFFFF"/>
            <w:vAlign w:val="center"/>
          </w:tcPr>
          <w:p w:rsidR="00F2319E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黄连片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1503013</w:t>
            </w:r>
          </w:p>
        </w:tc>
        <w:tc>
          <w:tcPr>
            <w:tcW w:w="2469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【性状】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天津市宁河县津淮药房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《中国药典》2010年版第二增补本</w:t>
            </w:r>
          </w:p>
        </w:tc>
        <w:tc>
          <w:tcPr>
            <w:tcW w:w="2295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天津市宁河区药品检验所</w:t>
            </w:r>
          </w:p>
        </w:tc>
        <w:tc>
          <w:tcPr>
            <w:tcW w:w="1446" w:type="dxa"/>
            <w:shd w:val="clear" w:color="auto" w:fill="FFFFFF"/>
            <w:vAlign w:val="center"/>
          </w:tcPr>
          <w:p w:rsidR="00F2319E" w:rsidRPr="005370AD" w:rsidRDefault="00F2319E" w:rsidP="00033A11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 w:cs="宋体" w:hint="eastAsia"/>
                <w:color w:val="000000"/>
                <w:kern w:val="0"/>
                <w:sz w:val="22"/>
              </w:rPr>
              <w:t>宁河局</w:t>
            </w:r>
          </w:p>
        </w:tc>
      </w:tr>
    </w:tbl>
    <w:p w:rsidR="00F2319E" w:rsidRPr="005370AD" w:rsidRDefault="00F2319E" w:rsidP="00235212">
      <w:pPr>
        <w:spacing w:line="620" w:lineRule="exact"/>
        <w:rPr>
          <w:rFonts w:ascii="Times New Roman" w:eastAsia="方正小标宋简体" w:hAnsi="Times New Roman"/>
          <w:b/>
          <w:bCs/>
          <w:color w:val="000000"/>
          <w:sz w:val="36"/>
          <w:szCs w:val="36"/>
        </w:rPr>
        <w:sectPr w:rsidR="00F2319E" w:rsidRPr="005370AD" w:rsidSect="00033A11">
          <w:footerReference w:type="even" r:id="rId6"/>
          <w:footerReference w:type="default" r:id="rId7"/>
          <w:pgSz w:w="16838" w:h="11906" w:orient="landscape" w:code="9"/>
          <w:pgMar w:top="1474" w:right="1985" w:bottom="1304" w:left="2098" w:header="851" w:footer="992" w:gutter="0"/>
          <w:cols w:space="425"/>
          <w:docGrid w:type="linesAndChars" w:linePitch="312"/>
        </w:sectPr>
      </w:pPr>
    </w:p>
    <w:p w:rsidR="00DC1E42" w:rsidRPr="00F2319E" w:rsidRDefault="00DC1E42" w:rsidP="00235212">
      <w:pPr>
        <w:spacing w:beforeLines="50" w:line="500" w:lineRule="exact"/>
        <w:rPr>
          <w:rFonts w:ascii="Times New Roman" w:eastAsia="仿宋_GB2312" w:hAnsi="Times New Roman"/>
          <w:color w:val="000000"/>
          <w:sz w:val="28"/>
          <w:szCs w:val="28"/>
        </w:rPr>
      </w:pPr>
    </w:p>
    <w:sectPr w:rsidR="00DC1E42" w:rsidRPr="00F2319E" w:rsidSect="00235212">
      <w:footerReference w:type="even" r:id="rId8"/>
      <w:footerReference w:type="default" r:id="rId9"/>
      <w:pgSz w:w="16838" w:h="11906" w:orient="landscape" w:code="9"/>
      <w:pgMar w:top="1588" w:right="2098" w:bottom="1474" w:left="1985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7569" w:rsidRDefault="00C07569">
      <w:r>
        <w:separator/>
      </w:r>
    </w:p>
  </w:endnote>
  <w:endnote w:type="continuationSeparator" w:id="1">
    <w:p w:rsidR="00C07569" w:rsidRDefault="00C075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19E" w:rsidRPr="004C68A0" w:rsidRDefault="00F2319E" w:rsidP="00FF1523">
    <w:pPr>
      <w:pStyle w:val="a4"/>
      <w:framePr w:w="1081" w:wrap="around" w:vAnchor="text" w:hAnchor="page" w:x="1798" w:y="18"/>
      <w:rPr>
        <w:rStyle w:val="a5"/>
        <w:sz w:val="21"/>
        <w:szCs w:val="21"/>
      </w:rPr>
    </w:pPr>
    <w:r w:rsidRPr="00AA68C0">
      <w:rPr>
        <w:rStyle w:val="a5"/>
        <w:rFonts w:ascii="Times New Roman"/>
        <w:sz w:val="28"/>
        <w:szCs w:val="28"/>
      </w:rPr>
      <w:t>—</w:t>
    </w:r>
    <w:r w:rsidR="001B11FD" w:rsidRPr="00AA68C0">
      <w:rPr>
        <w:rStyle w:val="a5"/>
        <w:rFonts w:ascii="Times New Roman"/>
        <w:sz w:val="28"/>
        <w:szCs w:val="28"/>
      </w:rPr>
      <w:fldChar w:fldCharType="begin"/>
    </w:r>
    <w:r w:rsidRPr="00AA68C0">
      <w:rPr>
        <w:rStyle w:val="a5"/>
        <w:rFonts w:ascii="Times New Roman"/>
        <w:sz w:val="28"/>
        <w:szCs w:val="28"/>
      </w:rPr>
      <w:instrText xml:space="preserve">PAGE  </w:instrText>
    </w:r>
    <w:r w:rsidR="001B11FD" w:rsidRPr="00AA68C0">
      <w:rPr>
        <w:rStyle w:val="a5"/>
        <w:rFonts w:ascii="Times New Roman"/>
        <w:sz w:val="28"/>
        <w:szCs w:val="28"/>
      </w:rPr>
      <w:fldChar w:fldCharType="separate"/>
    </w:r>
    <w:r w:rsidR="00235212">
      <w:rPr>
        <w:rStyle w:val="a5"/>
        <w:rFonts w:ascii="Times New Roman"/>
        <w:noProof/>
        <w:sz w:val="28"/>
        <w:szCs w:val="28"/>
      </w:rPr>
      <w:t>6</w:t>
    </w:r>
    <w:r w:rsidR="001B11FD" w:rsidRPr="00AA68C0">
      <w:rPr>
        <w:rStyle w:val="a5"/>
        <w:rFonts w:ascii="Times New Roman"/>
        <w:sz w:val="28"/>
        <w:szCs w:val="28"/>
      </w:rPr>
      <w:fldChar w:fldCharType="end"/>
    </w:r>
    <w:r w:rsidRPr="00AA68C0">
      <w:rPr>
        <w:rStyle w:val="a5"/>
        <w:rFonts w:ascii="Times New Roman"/>
        <w:sz w:val="28"/>
        <w:szCs w:val="28"/>
      </w:rPr>
      <w:t>—</w:t>
    </w:r>
  </w:p>
  <w:p w:rsidR="00F2319E" w:rsidRDefault="00F2319E" w:rsidP="00FF152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19E" w:rsidRPr="00B95F17" w:rsidRDefault="00F2319E" w:rsidP="00FF1523">
    <w:pPr>
      <w:pStyle w:val="a4"/>
      <w:framePr w:w="833" w:wrap="around" w:vAnchor="text" w:hAnchor="page" w:x="9361" w:y="4"/>
      <w:tabs>
        <w:tab w:val="left" w:pos="720"/>
      </w:tabs>
      <w:rPr>
        <w:rStyle w:val="a5"/>
        <w:rFonts w:ascii="Times New Roman"/>
        <w:sz w:val="24"/>
        <w:szCs w:val="24"/>
      </w:rPr>
    </w:pPr>
    <w:r w:rsidRPr="00AA68C0">
      <w:rPr>
        <w:rStyle w:val="a5"/>
        <w:rFonts w:ascii="Times New Roman"/>
        <w:sz w:val="28"/>
        <w:szCs w:val="28"/>
      </w:rPr>
      <w:t>—</w:t>
    </w:r>
    <w:r w:rsidR="001B11FD" w:rsidRPr="00AA68C0">
      <w:rPr>
        <w:rStyle w:val="a5"/>
        <w:rFonts w:ascii="Times New Roman"/>
        <w:sz w:val="28"/>
        <w:szCs w:val="28"/>
      </w:rPr>
      <w:fldChar w:fldCharType="begin"/>
    </w:r>
    <w:r w:rsidRPr="00AA68C0">
      <w:rPr>
        <w:rStyle w:val="a5"/>
        <w:rFonts w:ascii="Times New Roman"/>
        <w:sz w:val="28"/>
        <w:szCs w:val="28"/>
      </w:rPr>
      <w:instrText xml:space="preserve">PAGE  </w:instrText>
    </w:r>
    <w:r w:rsidR="001B11FD" w:rsidRPr="00AA68C0">
      <w:rPr>
        <w:rStyle w:val="a5"/>
        <w:rFonts w:ascii="Times New Roman"/>
        <w:sz w:val="28"/>
        <w:szCs w:val="28"/>
      </w:rPr>
      <w:fldChar w:fldCharType="separate"/>
    </w:r>
    <w:r w:rsidR="00235212">
      <w:rPr>
        <w:rStyle w:val="a5"/>
        <w:rFonts w:ascii="Times New Roman"/>
        <w:noProof/>
        <w:sz w:val="28"/>
        <w:szCs w:val="28"/>
      </w:rPr>
      <w:t>1</w:t>
    </w:r>
    <w:r w:rsidR="001B11FD" w:rsidRPr="00AA68C0">
      <w:rPr>
        <w:rStyle w:val="a5"/>
        <w:rFonts w:ascii="Times New Roman"/>
        <w:sz w:val="28"/>
        <w:szCs w:val="28"/>
      </w:rPr>
      <w:fldChar w:fldCharType="end"/>
    </w:r>
    <w:r w:rsidRPr="00AA68C0">
      <w:rPr>
        <w:rStyle w:val="a5"/>
        <w:rFonts w:ascii="Times New Roman"/>
        <w:sz w:val="28"/>
        <w:szCs w:val="28"/>
      </w:rPr>
      <w:t>—</w:t>
    </w:r>
  </w:p>
  <w:p w:rsidR="00F2319E" w:rsidRDefault="00F2319E" w:rsidP="00FF1523">
    <w:pPr>
      <w:pStyle w:val="a4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523" w:rsidRPr="004C68A0" w:rsidRDefault="00FF1523" w:rsidP="00FF1523">
    <w:pPr>
      <w:pStyle w:val="a4"/>
      <w:framePr w:w="1081" w:wrap="around" w:vAnchor="text" w:hAnchor="page" w:x="1798" w:y="18"/>
      <w:rPr>
        <w:rStyle w:val="a5"/>
        <w:sz w:val="21"/>
        <w:szCs w:val="21"/>
      </w:rPr>
    </w:pPr>
    <w:r w:rsidRPr="00AA68C0">
      <w:rPr>
        <w:rStyle w:val="a5"/>
        <w:rFonts w:ascii="Times New Roman"/>
        <w:sz w:val="28"/>
        <w:szCs w:val="28"/>
      </w:rPr>
      <w:t>—</w:t>
    </w:r>
    <w:r w:rsidR="001B11FD" w:rsidRPr="00AA68C0">
      <w:rPr>
        <w:rStyle w:val="a5"/>
        <w:rFonts w:ascii="Times New Roman"/>
        <w:sz w:val="28"/>
        <w:szCs w:val="28"/>
      </w:rPr>
      <w:fldChar w:fldCharType="begin"/>
    </w:r>
    <w:r w:rsidRPr="00AA68C0">
      <w:rPr>
        <w:rStyle w:val="a5"/>
        <w:rFonts w:ascii="Times New Roman"/>
        <w:sz w:val="28"/>
        <w:szCs w:val="28"/>
      </w:rPr>
      <w:instrText xml:space="preserve">PAGE  </w:instrText>
    </w:r>
    <w:r w:rsidR="001B11FD" w:rsidRPr="00AA68C0">
      <w:rPr>
        <w:rStyle w:val="a5"/>
        <w:rFonts w:ascii="Times New Roman"/>
        <w:sz w:val="28"/>
        <w:szCs w:val="28"/>
      </w:rPr>
      <w:fldChar w:fldCharType="separate"/>
    </w:r>
    <w:r w:rsidR="00235212">
      <w:rPr>
        <w:rStyle w:val="a5"/>
        <w:rFonts w:ascii="Times New Roman"/>
        <w:noProof/>
        <w:sz w:val="28"/>
        <w:szCs w:val="28"/>
      </w:rPr>
      <w:t>2</w:t>
    </w:r>
    <w:r w:rsidR="001B11FD" w:rsidRPr="00AA68C0">
      <w:rPr>
        <w:rStyle w:val="a5"/>
        <w:rFonts w:ascii="Times New Roman"/>
        <w:sz w:val="28"/>
        <w:szCs w:val="28"/>
      </w:rPr>
      <w:fldChar w:fldCharType="end"/>
    </w:r>
    <w:r w:rsidRPr="00AA68C0">
      <w:rPr>
        <w:rStyle w:val="a5"/>
        <w:rFonts w:ascii="Times New Roman"/>
        <w:sz w:val="28"/>
        <w:szCs w:val="28"/>
      </w:rPr>
      <w:t>—</w:t>
    </w:r>
  </w:p>
  <w:p w:rsidR="00FF1523" w:rsidRDefault="00FF1523" w:rsidP="00FF1523">
    <w:pPr>
      <w:pStyle w:val="a4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523" w:rsidRPr="00B95F17" w:rsidRDefault="00FF1523" w:rsidP="00FF1523">
    <w:pPr>
      <w:pStyle w:val="a4"/>
      <w:framePr w:w="833" w:wrap="around" w:vAnchor="text" w:hAnchor="page" w:x="9361" w:y="4"/>
      <w:tabs>
        <w:tab w:val="left" w:pos="720"/>
      </w:tabs>
      <w:rPr>
        <w:rStyle w:val="a5"/>
        <w:rFonts w:ascii="Times New Roman"/>
        <w:sz w:val="24"/>
        <w:szCs w:val="24"/>
      </w:rPr>
    </w:pPr>
    <w:r w:rsidRPr="00AA68C0">
      <w:rPr>
        <w:rStyle w:val="a5"/>
        <w:rFonts w:ascii="Times New Roman"/>
        <w:sz w:val="28"/>
        <w:szCs w:val="28"/>
      </w:rPr>
      <w:t>—</w:t>
    </w:r>
    <w:r w:rsidR="001B11FD" w:rsidRPr="00AA68C0">
      <w:rPr>
        <w:rStyle w:val="a5"/>
        <w:rFonts w:ascii="Times New Roman"/>
        <w:sz w:val="28"/>
        <w:szCs w:val="28"/>
      </w:rPr>
      <w:fldChar w:fldCharType="begin"/>
    </w:r>
    <w:r w:rsidRPr="00AA68C0">
      <w:rPr>
        <w:rStyle w:val="a5"/>
        <w:rFonts w:ascii="Times New Roman"/>
        <w:sz w:val="28"/>
        <w:szCs w:val="28"/>
      </w:rPr>
      <w:instrText xml:space="preserve">PAGE  </w:instrText>
    </w:r>
    <w:r w:rsidR="001B11FD" w:rsidRPr="00AA68C0">
      <w:rPr>
        <w:rStyle w:val="a5"/>
        <w:rFonts w:ascii="Times New Roman"/>
        <w:sz w:val="28"/>
        <w:szCs w:val="28"/>
      </w:rPr>
      <w:fldChar w:fldCharType="separate"/>
    </w:r>
    <w:r w:rsidR="00235212">
      <w:rPr>
        <w:rStyle w:val="a5"/>
        <w:rFonts w:ascii="Times New Roman"/>
        <w:noProof/>
        <w:sz w:val="28"/>
        <w:szCs w:val="28"/>
      </w:rPr>
      <w:t>1</w:t>
    </w:r>
    <w:r w:rsidR="001B11FD" w:rsidRPr="00AA68C0">
      <w:rPr>
        <w:rStyle w:val="a5"/>
        <w:rFonts w:ascii="Times New Roman"/>
        <w:sz w:val="28"/>
        <w:szCs w:val="28"/>
      </w:rPr>
      <w:fldChar w:fldCharType="end"/>
    </w:r>
    <w:r w:rsidRPr="00AA68C0">
      <w:rPr>
        <w:rStyle w:val="a5"/>
        <w:rFonts w:ascii="Times New Roman"/>
        <w:sz w:val="28"/>
        <w:szCs w:val="28"/>
      </w:rPr>
      <w:t>—</w:t>
    </w:r>
  </w:p>
  <w:p w:rsidR="00FF1523" w:rsidRDefault="00FF1523" w:rsidP="00FF1523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7569" w:rsidRDefault="00C07569">
      <w:r>
        <w:separator/>
      </w:r>
    </w:p>
  </w:footnote>
  <w:footnote w:type="continuationSeparator" w:id="1">
    <w:p w:rsidR="00C07569" w:rsidRDefault="00C0756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cumentProtection w:edit="forms" w:enforcement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E1E76"/>
    <w:rsid w:val="00033A11"/>
    <w:rsid w:val="000958FF"/>
    <w:rsid w:val="000F741B"/>
    <w:rsid w:val="00130ABC"/>
    <w:rsid w:val="00130E7E"/>
    <w:rsid w:val="00171482"/>
    <w:rsid w:val="00197847"/>
    <w:rsid w:val="001B11FD"/>
    <w:rsid w:val="001C1380"/>
    <w:rsid w:val="00235212"/>
    <w:rsid w:val="00250C1A"/>
    <w:rsid w:val="002A0099"/>
    <w:rsid w:val="002F184B"/>
    <w:rsid w:val="0042286D"/>
    <w:rsid w:val="004C648C"/>
    <w:rsid w:val="0059368C"/>
    <w:rsid w:val="005F34F8"/>
    <w:rsid w:val="00631948"/>
    <w:rsid w:val="006601C2"/>
    <w:rsid w:val="007243C2"/>
    <w:rsid w:val="007D40AE"/>
    <w:rsid w:val="007D5794"/>
    <w:rsid w:val="008620E3"/>
    <w:rsid w:val="009B76E0"/>
    <w:rsid w:val="009C163F"/>
    <w:rsid w:val="00A049A5"/>
    <w:rsid w:val="00A506D4"/>
    <w:rsid w:val="00AE1E76"/>
    <w:rsid w:val="00B35FE3"/>
    <w:rsid w:val="00BD42AA"/>
    <w:rsid w:val="00C0515F"/>
    <w:rsid w:val="00C07569"/>
    <w:rsid w:val="00C34D6E"/>
    <w:rsid w:val="00D952D8"/>
    <w:rsid w:val="00DB62B6"/>
    <w:rsid w:val="00DC1E42"/>
    <w:rsid w:val="00DD14F2"/>
    <w:rsid w:val="00E304D0"/>
    <w:rsid w:val="00EA4380"/>
    <w:rsid w:val="00ED6B74"/>
    <w:rsid w:val="00F2319E"/>
    <w:rsid w:val="00FA514B"/>
    <w:rsid w:val="00FB347D"/>
    <w:rsid w:val="00FF15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E7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rsid w:val="00AE1E76"/>
    <w:pPr>
      <w:spacing w:after="120"/>
    </w:pPr>
    <w:rPr>
      <w:kern w:val="0"/>
      <w:sz w:val="20"/>
      <w:szCs w:val="20"/>
    </w:rPr>
  </w:style>
  <w:style w:type="character" w:customStyle="1" w:styleId="Char">
    <w:name w:val="正文文本 Char"/>
    <w:link w:val="a3"/>
    <w:rsid w:val="00AE1E76"/>
    <w:rPr>
      <w:rFonts w:ascii="Calibri" w:eastAsia="宋体" w:hAnsi="Calibri" w:cs="Times New Roman"/>
    </w:rPr>
  </w:style>
  <w:style w:type="paragraph" w:styleId="a4">
    <w:name w:val="footer"/>
    <w:basedOn w:val="a"/>
    <w:rsid w:val="00FF1523"/>
    <w:pPr>
      <w:tabs>
        <w:tab w:val="center" w:pos="4153"/>
        <w:tab w:val="right" w:pos="8306"/>
      </w:tabs>
      <w:snapToGrid w:val="0"/>
      <w:jc w:val="left"/>
    </w:pPr>
    <w:rPr>
      <w:rFonts w:ascii="仿宋_GB2312" w:eastAsia="仿宋_GB2312" w:hAnsi="Times New Roman"/>
      <w:color w:val="000000"/>
      <w:sz w:val="18"/>
      <w:szCs w:val="18"/>
    </w:rPr>
  </w:style>
  <w:style w:type="character" w:styleId="a5">
    <w:name w:val="page number"/>
    <w:basedOn w:val="a0"/>
    <w:rsid w:val="00FF1523"/>
  </w:style>
  <w:style w:type="paragraph" w:customStyle="1" w:styleId="CharCharCharCharCharChar1Char">
    <w:name w:val="Char Char Char Char Char Char1 Char"/>
    <w:basedOn w:val="a"/>
    <w:rsid w:val="00130E7E"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szCs w:val="32"/>
      <w:lang w:eastAsia="en-US"/>
    </w:rPr>
  </w:style>
  <w:style w:type="paragraph" w:styleId="a6">
    <w:name w:val="Balloon Text"/>
    <w:basedOn w:val="a"/>
    <w:link w:val="Char0"/>
    <w:uiPriority w:val="99"/>
    <w:semiHidden/>
    <w:unhideWhenUsed/>
    <w:rsid w:val="000958FF"/>
    <w:rPr>
      <w:sz w:val="18"/>
      <w:szCs w:val="18"/>
    </w:rPr>
  </w:style>
  <w:style w:type="character" w:customStyle="1" w:styleId="Char0">
    <w:name w:val="批注框文本 Char"/>
    <w:basedOn w:val="a0"/>
    <w:link w:val="a6"/>
    <w:uiPriority w:val="99"/>
    <w:semiHidden/>
    <w:rsid w:val="000958FF"/>
    <w:rPr>
      <w:kern w:val="2"/>
      <w:sz w:val="18"/>
      <w:szCs w:val="18"/>
    </w:rPr>
  </w:style>
  <w:style w:type="paragraph" w:styleId="a7">
    <w:name w:val="header"/>
    <w:basedOn w:val="a"/>
    <w:link w:val="Char1"/>
    <w:uiPriority w:val="99"/>
    <w:semiHidden/>
    <w:unhideWhenUsed/>
    <w:rsid w:val="004228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semiHidden/>
    <w:rsid w:val="0042286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143</Words>
  <Characters>820</Characters>
  <Application>Microsoft Office Word</Application>
  <DocSecurity>0</DocSecurity>
  <Lines>6</Lines>
  <Paragraphs>1</Paragraphs>
  <ScaleCrop>false</ScaleCrop>
  <Company>微软中国</Company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天津市市场和质量监督管理委员会文件</dc:title>
  <dc:creator>管理员</dc:creator>
  <cp:lastModifiedBy>wxl</cp:lastModifiedBy>
  <cp:revision>2</cp:revision>
  <dcterms:created xsi:type="dcterms:W3CDTF">2017-02-09T09:45:00Z</dcterms:created>
  <dcterms:modified xsi:type="dcterms:W3CDTF">2017-02-09T09:45:00Z</dcterms:modified>
</cp:coreProperties>
</file>