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278" w:rsidRDefault="00474278" w:rsidP="00474278">
      <w:pPr>
        <w:tabs>
          <w:tab w:val="left" w:pos="7200"/>
          <w:tab w:val="left" w:pos="7380"/>
          <w:tab w:val="left" w:pos="7560"/>
        </w:tabs>
        <w:spacing w:line="520" w:lineRule="exact"/>
        <w:jc w:val="lef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</w:p>
    <w:p w:rsidR="00474278" w:rsidRDefault="00474278" w:rsidP="00474278">
      <w:pPr>
        <w:tabs>
          <w:tab w:val="left" w:pos="7200"/>
          <w:tab w:val="left" w:pos="7380"/>
          <w:tab w:val="left" w:pos="7560"/>
        </w:tabs>
        <w:spacing w:line="520" w:lineRule="exact"/>
        <w:jc w:val="center"/>
        <w:rPr>
          <w:rFonts w:eastAsia="黑体"/>
          <w:color w:val="000000"/>
          <w:sz w:val="32"/>
          <w:szCs w:val="32"/>
        </w:rPr>
      </w:pPr>
    </w:p>
    <w:p w:rsidR="00474278" w:rsidRDefault="00474278" w:rsidP="00474278">
      <w:pPr>
        <w:spacing w:line="52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>含</w:t>
      </w:r>
      <w:proofErr w:type="gramStart"/>
      <w:r>
        <w:rPr>
          <w:rFonts w:eastAsia="方正小标宋简体" w:hint="eastAsia"/>
          <w:color w:val="000000"/>
          <w:sz w:val="44"/>
          <w:szCs w:val="44"/>
        </w:rPr>
        <w:t>吡哌</w:t>
      </w:r>
      <w:proofErr w:type="gramEnd"/>
      <w:r>
        <w:rPr>
          <w:rFonts w:eastAsia="方正小标宋简体" w:hint="eastAsia"/>
          <w:color w:val="000000"/>
          <w:sz w:val="44"/>
          <w:szCs w:val="44"/>
        </w:rPr>
        <w:t>酸药品</w:t>
      </w:r>
      <w:r>
        <w:rPr>
          <w:rFonts w:eastAsia="方正小标宋简体"/>
          <w:color w:val="000000"/>
          <w:sz w:val="44"/>
          <w:szCs w:val="44"/>
        </w:rPr>
        <w:t>说明书修订要求</w:t>
      </w:r>
    </w:p>
    <w:p w:rsidR="00474278" w:rsidRDefault="00474278" w:rsidP="00474278">
      <w:pPr>
        <w:spacing w:line="520" w:lineRule="exact"/>
        <w:ind w:left="1280" w:hangingChars="400" w:hanging="1280"/>
        <w:jc w:val="center"/>
        <w:rPr>
          <w:rFonts w:eastAsia="仿宋_GB2312"/>
          <w:color w:val="000000"/>
          <w:sz w:val="32"/>
          <w:szCs w:val="32"/>
        </w:rPr>
      </w:pP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一、增加警示语：</w:t>
      </w:r>
    </w:p>
    <w:p w:rsidR="00474278" w:rsidRDefault="00474278" w:rsidP="00474278">
      <w:pPr>
        <w:spacing w:line="540" w:lineRule="exact"/>
        <w:ind w:firstLineChars="200" w:firstLine="420"/>
        <w:jc w:val="left"/>
        <w:rPr>
          <w:rFonts w:eastAsia="仿宋_GB2312"/>
          <w:b/>
          <w:sz w:val="32"/>
          <w:szCs w:val="32"/>
        </w:rPr>
      </w:pPr>
      <w:r>
        <w:rPr>
          <w:rFonts w:eastAsia="仿宋_GB2312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41910</wp:posOffset>
                </wp:positionV>
                <wp:extent cx="5765165" cy="1714500"/>
                <wp:effectExtent l="6985" t="15240" r="9525" b="1333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5165" cy="1714500"/>
                        </a:xfrm>
                        <a:prstGeom prst="rect">
                          <a:avLst/>
                        </a:prstGeom>
                        <a:noFill/>
                        <a:ln w="12700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E366C" id="矩形 1" o:spid="_x0000_s1026" style="position:absolute;left:0;text-align:left;margin-left:-1pt;margin-top:3.3pt;width:453.95pt;height:1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" filled="f" strokeweight="1pt"/>
            </w:pict>
          </mc:Fallback>
        </mc:AlternateContent>
      </w:r>
      <w:r>
        <w:rPr>
          <w:rFonts w:eastAsia="仿宋_GB2312"/>
          <w:b/>
          <w:sz w:val="32"/>
          <w:szCs w:val="32"/>
        </w:rPr>
        <w:t>本品有发生严重过敏反应的风险，包括过敏性休克和严重皮肤过敏反应，一旦出现皮疹、瘙痒、寒战、呼吸困难、血压下降等症状，应立即停药并采取适当的处置措施；严重皮肤反应包括多形性渗出性红斑、史蒂文</w:t>
      </w:r>
      <w:r>
        <w:rPr>
          <w:rFonts w:eastAsia="仿宋_GB2312"/>
          <w:b/>
          <w:sz w:val="32"/>
          <w:szCs w:val="32"/>
        </w:rPr>
        <w:t>-</w:t>
      </w:r>
      <w:r>
        <w:rPr>
          <w:rFonts w:eastAsia="仿宋_GB2312"/>
          <w:b/>
          <w:sz w:val="32"/>
          <w:szCs w:val="32"/>
        </w:rPr>
        <w:t>约翰逊（</w:t>
      </w:r>
      <w:r>
        <w:rPr>
          <w:rFonts w:eastAsia="仿宋_GB2312"/>
          <w:b/>
          <w:sz w:val="32"/>
          <w:szCs w:val="32"/>
        </w:rPr>
        <w:t>Stevens-Johnson</w:t>
      </w:r>
      <w:r>
        <w:rPr>
          <w:rFonts w:eastAsia="仿宋_GB2312"/>
          <w:b/>
          <w:sz w:val="32"/>
          <w:szCs w:val="32"/>
        </w:rPr>
        <w:t>）综合征、中毒性表皮坏死松解症（</w:t>
      </w:r>
      <w:r>
        <w:rPr>
          <w:rFonts w:eastAsia="仿宋_GB2312"/>
          <w:b/>
          <w:sz w:val="32"/>
          <w:szCs w:val="32"/>
        </w:rPr>
        <w:t>Lyell</w:t>
      </w:r>
      <w:r>
        <w:rPr>
          <w:rFonts w:eastAsia="仿宋_GB2312"/>
          <w:b/>
          <w:sz w:val="32"/>
          <w:szCs w:val="32"/>
        </w:rPr>
        <w:t>综合征）。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二、【不良反应】项下修订为以下内容：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胃肠损害：恶心、呕吐、嗳气、胃部不适、消化不良、胃痛、腹痛、腹胀、便秘、腹泻、口干、口腔炎。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皮肤及其附件：皮疹、瘙痒、荨麻疹、斑丘疹、红斑疹、水疱疹、多形性渗出性红斑、史蒂文</w:t>
      </w:r>
      <w:r>
        <w:rPr>
          <w:rFonts w:eastAsia="仿宋_GB2312"/>
          <w:sz w:val="32"/>
          <w:szCs w:val="32"/>
        </w:rPr>
        <w:t>-</w:t>
      </w:r>
      <w:r>
        <w:rPr>
          <w:rFonts w:eastAsia="仿宋_GB2312"/>
          <w:sz w:val="32"/>
          <w:szCs w:val="32"/>
        </w:rPr>
        <w:t>约翰逊（</w:t>
      </w:r>
      <w:r>
        <w:rPr>
          <w:rFonts w:eastAsia="仿宋_GB2312"/>
          <w:sz w:val="32"/>
          <w:szCs w:val="32"/>
        </w:rPr>
        <w:t>Stevens-Johnson</w:t>
      </w:r>
      <w:r>
        <w:rPr>
          <w:rFonts w:eastAsia="仿宋_GB2312"/>
          <w:sz w:val="32"/>
          <w:szCs w:val="32"/>
        </w:rPr>
        <w:t>）综合征、中毒性表皮坏死松解症。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精神和神经系统：头痛、头晕、眩晕、感觉减退、厌食、食欲减退、嗜睡、失眠、癫痫样发作、痉挛。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全身性损害：寒战、发热、过敏反应、过敏性休克、面部水肿、乏力、胸痛、血管神经性水肿。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呼吸系统：呼吸困难、喉头水肿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心血管系统：心悸、紫</w:t>
      </w:r>
      <w:proofErr w:type="gramStart"/>
      <w:r>
        <w:rPr>
          <w:rFonts w:eastAsia="仿宋_GB2312"/>
          <w:sz w:val="32"/>
          <w:szCs w:val="32"/>
        </w:rPr>
        <w:t>绀</w:t>
      </w:r>
      <w:proofErr w:type="gramEnd"/>
      <w:r>
        <w:rPr>
          <w:rFonts w:eastAsia="仿宋_GB2312"/>
          <w:sz w:val="32"/>
          <w:szCs w:val="32"/>
        </w:rPr>
        <w:t>、潮红、血压下降、过敏性紫癜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泌尿系统：血尿、尿频、</w:t>
      </w:r>
      <w:r>
        <w:rPr>
          <w:rFonts w:eastAsia="仿宋_GB2312"/>
          <w:sz w:val="32"/>
          <w:szCs w:val="32"/>
        </w:rPr>
        <w:t>BUN</w:t>
      </w:r>
      <w:r>
        <w:rPr>
          <w:rFonts w:eastAsia="仿宋_GB2312"/>
          <w:sz w:val="32"/>
          <w:szCs w:val="32"/>
        </w:rPr>
        <w:t>、肌</w:t>
      </w:r>
      <w:proofErr w:type="gramStart"/>
      <w:r>
        <w:rPr>
          <w:rFonts w:eastAsia="仿宋_GB2312"/>
          <w:sz w:val="32"/>
          <w:szCs w:val="32"/>
        </w:rPr>
        <w:t>酐</w:t>
      </w:r>
      <w:proofErr w:type="gramEnd"/>
      <w:r>
        <w:rPr>
          <w:rFonts w:eastAsia="仿宋_GB2312"/>
          <w:sz w:val="32"/>
          <w:szCs w:val="32"/>
        </w:rPr>
        <w:t>升高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>肝胆损害：肝功能异常、</w:t>
      </w:r>
      <w:r>
        <w:rPr>
          <w:rFonts w:eastAsia="仿宋_GB2312"/>
          <w:sz w:val="32"/>
          <w:szCs w:val="32"/>
        </w:rPr>
        <w:t xml:space="preserve">AST (GOT) </w:t>
      </w:r>
      <w:r>
        <w:rPr>
          <w:rFonts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ALT</w:t>
      </w:r>
      <w:r>
        <w:rPr>
          <w:rFonts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GPT</w:t>
      </w:r>
      <w:r>
        <w:rPr>
          <w:rFonts w:eastAsia="仿宋_GB2312"/>
          <w:sz w:val="32"/>
          <w:szCs w:val="32"/>
        </w:rPr>
        <w:t>）升高、</w:t>
      </w:r>
      <w:r>
        <w:rPr>
          <w:rFonts w:eastAsia="仿宋_GB2312"/>
          <w:sz w:val="32"/>
          <w:szCs w:val="32"/>
        </w:rPr>
        <w:t>Al-P</w:t>
      </w:r>
      <w:r>
        <w:rPr>
          <w:rFonts w:eastAsia="仿宋_GB2312"/>
          <w:sz w:val="32"/>
          <w:szCs w:val="32"/>
        </w:rPr>
        <w:t>升高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血液系统：白细胞减少、血小板减少、粒细胞减少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骨骼和肌肉系统：关节痛、肌腱炎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三、【禁忌】项下增加以下内容：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孕妇及哺乳期妇女禁用。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2.18</w:t>
      </w:r>
      <w:r>
        <w:rPr>
          <w:rFonts w:eastAsia="仿宋_GB2312"/>
          <w:sz w:val="32"/>
          <w:szCs w:val="32"/>
        </w:rPr>
        <w:t>岁以下儿童禁用。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四、【孕妇及哺乳期妇女用药】项下修订为以下内容：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动物实验显示本品可抑制幼龄动物软骨发育，孕妇禁用。本品可进入母乳，哺乳期妇女禁用。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五、【儿童用药】项下修订为以下内容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本品在婴幼儿及</w:t>
      </w:r>
      <w:r>
        <w:rPr>
          <w:rFonts w:eastAsia="仿宋_GB2312"/>
          <w:sz w:val="32"/>
          <w:szCs w:val="32"/>
        </w:rPr>
        <w:t>18</w:t>
      </w:r>
      <w:r>
        <w:rPr>
          <w:rFonts w:eastAsia="仿宋_GB2312"/>
          <w:sz w:val="32"/>
          <w:szCs w:val="32"/>
        </w:rPr>
        <w:t>岁以下青少年的安全性尚未确立。但本品用于数种幼龄动物时，可引起关节病变，</w:t>
      </w:r>
      <w:r>
        <w:rPr>
          <w:rFonts w:eastAsia="仿宋_GB2312"/>
          <w:sz w:val="32"/>
          <w:szCs w:val="32"/>
        </w:rPr>
        <w:t>18</w:t>
      </w:r>
      <w:r>
        <w:rPr>
          <w:rFonts w:eastAsia="仿宋_GB2312"/>
          <w:sz w:val="32"/>
          <w:szCs w:val="32"/>
        </w:rPr>
        <w:t>岁以下儿童禁用。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六、【老年用药】项下修订为以下内容：</w:t>
      </w:r>
    </w:p>
    <w:p w:rsidR="00474278" w:rsidRDefault="00474278" w:rsidP="00474278">
      <w:pPr>
        <w:spacing w:line="54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因本品主要经肾排出，老年患者常有肾功能减退，需减量应用。</w:t>
      </w:r>
    </w:p>
    <w:p w:rsidR="00474278" w:rsidRDefault="00474278" w:rsidP="00474278">
      <w:pPr>
        <w:rPr>
          <w:rFonts w:eastAsia="仿宋_GB2312"/>
          <w:sz w:val="32"/>
          <w:szCs w:val="32"/>
        </w:rPr>
      </w:pPr>
    </w:p>
    <w:p w:rsidR="00474278" w:rsidRDefault="00474278" w:rsidP="00474278">
      <w:pPr>
        <w:spacing w:line="460" w:lineRule="exact"/>
        <w:ind w:firstLineChars="200" w:firstLine="64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color w:val="000000"/>
          <w:sz w:val="32"/>
          <w:szCs w:val="32"/>
        </w:rPr>
        <w:t>（注：说明书其他内容如与上述修订要求不一致的，应当一并进行修订。）</w:t>
      </w:r>
    </w:p>
    <w:p w:rsidR="007757B3" w:rsidRDefault="007757B3">
      <w:bookmarkStart w:id="0" w:name="_GoBack"/>
      <w:bookmarkEnd w:id="0"/>
    </w:p>
    <w:sectPr w:rsidR="007757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278"/>
    <w:rsid w:val="00474278"/>
    <w:rsid w:val="0077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059A6-A95A-44ED-BD88-4F86CDE8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2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2020-01-21T08:34:00Z</dcterms:created>
  <dcterms:modified xsi:type="dcterms:W3CDTF">2020-01-21T08:36:00Z</dcterms:modified>
</cp:coreProperties>
</file>