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9D3" w:rsidRDefault="00062D80" w:rsidP="00606AB5">
      <w:pPr>
        <w:rPr>
          <w:rFonts w:eastAsia="黑体"/>
          <w:color w:val="000000"/>
          <w:sz w:val="32"/>
          <w:szCs w:val="32"/>
        </w:rPr>
      </w:pPr>
      <w:bookmarkStart w:id="0" w:name="_GoBack"/>
      <w:bookmarkEnd w:id="0"/>
      <w:r w:rsidRPr="00606AB5">
        <w:rPr>
          <w:rFonts w:ascii="黑体" w:eastAsia="黑体" w:hAnsi="黑体" w:cs="黑体" w:hint="eastAsia"/>
          <w:color w:val="000000"/>
          <w:sz w:val="32"/>
          <w:szCs w:val="32"/>
        </w:rPr>
        <w:t>附件</w:t>
      </w:r>
      <w:r w:rsidRPr="00606AB5">
        <w:rPr>
          <w:rFonts w:ascii="黑体" w:eastAsia="黑体" w:hAnsi="黑体" w:cs="黑体"/>
          <w:color w:val="000000"/>
          <w:sz w:val="32"/>
          <w:szCs w:val="32"/>
        </w:rPr>
        <w:t>1</w:t>
      </w:r>
    </w:p>
    <w:p w:rsidR="00C729D3" w:rsidRDefault="00C729D3" w:rsidP="00606AB5">
      <w:pPr>
        <w:tabs>
          <w:tab w:val="left" w:pos="7200"/>
          <w:tab w:val="left" w:pos="7380"/>
          <w:tab w:val="left" w:pos="7560"/>
        </w:tabs>
        <w:spacing w:line="560" w:lineRule="exact"/>
        <w:jc w:val="left"/>
        <w:rPr>
          <w:rFonts w:eastAsia="黑体"/>
          <w:color w:val="000000"/>
          <w:sz w:val="32"/>
          <w:szCs w:val="32"/>
        </w:rPr>
      </w:pPr>
    </w:p>
    <w:p w:rsidR="00C729D3" w:rsidRDefault="00062D80" w:rsidP="00606AB5">
      <w:pPr>
        <w:spacing w:line="560" w:lineRule="exact"/>
        <w:jc w:val="center"/>
        <w:rPr>
          <w:rFonts w:eastAsia="方正小标宋简体"/>
          <w:color w:val="000000"/>
          <w:sz w:val="44"/>
          <w:szCs w:val="44"/>
        </w:rPr>
      </w:pPr>
      <w:r>
        <w:rPr>
          <w:rFonts w:eastAsia="方正小标宋简体"/>
          <w:color w:val="000000"/>
          <w:sz w:val="44"/>
          <w:szCs w:val="44"/>
        </w:rPr>
        <w:t>氢化可的松注射液说明书修订要求</w:t>
      </w:r>
    </w:p>
    <w:p w:rsidR="00C729D3" w:rsidRDefault="00C729D3" w:rsidP="00606AB5">
      <w:pPr>
        <w:spacing w:line="560" w:lineRule="exact"/>
        <w:ind w:left="1280" w:hangingChars="400" w:hanging="1280"/>
        <w:jc w:val="center"/>
        <w:rPr>
          <w:rFonts w:eastAsia="仿宋_GB2312"/>
          <w:color w:val="000000"/>
          <w:sz w:val="32"/>
          <w:szCs w:val="32"/>
        </w:rPr>
      </w:pPr>
    </w:p>
    <w:p w:rsidR="00C729D3" w:rsidRDefault="00062D80" w:rsidP="00606AB5">
      <w:pPr>
        <w:pStyle w:val="a8"/>
        <w:numPr>
          <w:ilvl w:val="0"/>
          <w:numId w:val="2"/>
        </w:numPr>
        <w:spacing w:line="560" w:lineRule="exact"/>
        <w:ind w:firstLineChars="0"/>
        <w:rPr>
          <w:rFonts w:eastAsia="黑体"/>
          <w:sz w:val="32"/>
          <w:szCs w:val="32"/>
        </w:rPr>
      </w:pPr>
      <w:r>
        <w:rPr>
          <w:rFonts w:eastAsia="黑体"/>
          <w:sz w:val="32"/>
          <w:szCs w:val="32"/>
        </w:rPr>
        <w:t>不良反应</w:t>
      </w:r>
    </w:p>
    <w:p w:rsidR="00C729D3" w:rsidRDefault="00062D80" w:rsidP="00606AB5">
      <w:pPr>
        <w:pStyle w:val="a8"/>
        <w:spacing w:line="560" w:lineRule="exact"/>
        <w:ind w:firstLine="640"/>
        <w:rPr>
          <w:rFonts w:eastAsia="仿宋_GB2312"/>
          <w:color w:val="000000"/>
          <w:sz w:val="32"/>
          <w:szCs w:val="32"/>
        </w:rPr>
      </w:pPr>
      <w:r>
        <w:rPr>
          <w:rFonts w:eastAsia="仿宋_GB2312" w:hint="eastAsia"/>
          <w:color w:val="000000"/>
          <w:sz w:val="32"/>
          <w:szCs w:val="32"/>
        </w:rPr>
        <w:t>【</w:t>
      </w:r>
      <w:r>
        <w:rPr>
          <w:rFonts w:eastAsia="仿宋_GB2312"/>
          <w:color w:val="000000"/>
          <w:sz w:val="32"/>
          <w:szCs w:val="32"/>
        </w:rPr>
        <w:t>不良反应</w:t>
      </w:r>
      <w:r>
        <w:rPr>
          <w:rFonts w:eastAsia="仿宋_GB2312" w:hint="eastAsia"/>
          <w:color w:val="000000"/>
          <w:sz w:val="32"/>
          <w:szCs w:val="32"/>
        </w:rPr>
        <w:t>】</w:t>
      </w:r>
      <w:r>
        <w:rPr>
          <w:rFonts w:eastAsia="仿宋_GB2312"/>
          <w:color w:val="000000"/>
          <w:sz w:val="32"/>
          <w:szCs w:val="32"/>
        </w:rPr>
        <w:t>项应加入以下内容：</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上市后不良反应监测数据显示本品可见以下不良反应</w:t>
      </w:r>
      <w:r>
        <w:rPr>
          <w:rFonts w:eastAsia="仿宋_GB2312"/>
          <w:color w:val="000000"/>
          <w:sz w:val="32"/>
          <w:szCs w:val="32"/>
        </w:rPr>
        <w:t>/</w:t>
      </w:r>
      <w:r>
        <w:rPr>
          <w:rFonts w:eastAsia="仿宋_GB2312"/>
          <w:color w:val="000000"/>
          <w:sz w:val="32"/>
          <w:szCs w:val="32"/>
        </w:rPr>
        <w:t>事件：</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心血管损害：潮红、心悸、心律失常、静脉炎、血压降低等；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皮肤及其附件损害：皮疹、瘙痒、皮肤发红、局部皮肤反应、多汗、红斑疹、荨麻疹等；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全身性损害：胸闷、发热、乏力、疼痛、寒战等；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消化系统损害：恶心、呕吐、腹痛等；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呼吸系统损害：呼吸困难、呼吸急促、憋气、哮喘、哮喘加重等；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免疫功能紊乱：过敏反应、过敏样反应、过敏性休克等；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神经系统损害：头晕、头痛、抽搐等；</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精神障碍：失眠、烦躁、兴奋、焦急不安、幻觉、谵妄等。</w:t>
      </w:r>
    </w:p>
    <w:p w:rsidR="00C729D3" w:rsidRDefault="00062D80" w:rsidP="00606AB5">
      <w:pPr>
        <w:pStyle w:val="a8"/>
        <w:spacing w:line="560" w:lineRule="exact"/>
        <w:ind w:firstLine="640"/>
        <w:rPr>
          <w:rFonts w:eastAsia="仿宋_GB2312"/>
          <w:sz w:val="32"/>
          <w:szCs w:val="32"/>
        </w:rPr>
      </w:pPr>
      <w:r>
        <w:rPr>
          <w:rFonts w:eastAsia="仿宋_GB2312"/>
          <w:color w:val="000000"/>
          <w:sz w:val="32"/>
          <w:szCs w:val="32"/>
        </w:rPr>
        <w:t>其他：双硫仑样反应、药物</w:t>
      </w:r>
      <w:r>
        <w:rPr>
          <w:rFonts w:eastAsia="仿宋_GB2312"/>
          <w:color w:val="000000"/>
          <w:sz w:val="32"/>
          <w:szCs w:val="32"/>
        </w:rPr>
        <w:t>-</w:t>
      </w:r>
      <w:r>
        <w:rPr>
          <w:rFonts w:eastAsia="仿宋_GB2312"/>
          <w:color w:val="000000"/>
          <w:sz w:val="32"/>
          <w:szCs w:val="32"/>
        </w:rPr>
        <w:t>酒精相互作用等</w:t>
      </w:r>
    </w:p>
    <w:p w:rsidR="00C729D3" w:rsidRDefault="00062D80" w:rsidP="00606AB5">
      <w:pPr>
        <w:pStyle w:val="a8"/>
        <w:numPr>
          <w:ilvl w:val="0"/>
          <w:numId w:val="2"/>
        </w:numPr>
        <w:spacing w:line="560" w:lineRule="exact"/>
        <w:ind w:firstLineChars="0"/>
        <w:rPr>
          <w:rFonts w:eastAsia="黑体"/>
          <w:sz w:val="32"/>
          <w:szCs w:val="32"/>
        </w:rPr>
      </w:pPr>
      <w:r>
        <w:rPr>
          <w:rFonts w:eastAsia="黑体"/>
          <w:sz w:val="32"/>
          <w:szCs w:val="32"/>
        </w:rPr>
        <w:t>禁忌</w:t>
      </w:r>
    </w:p>
    <w:p w:rsidR="00C729D3" w:rsidRDefault="00062D80" w:rsidP="00606AB5">
      <w:pPr>
        <w:pStyle w:val="a8"/>
        <w:spacing w:line="560" w:lineRule="exact"/>
        <w:ind w:firstLine="640"/>
        <w:rPr>
          <w:rFonts w:eastAsia="仿宋_GB2312"/>
          <w:color w:val="000000"/>
          <w:sz w:val="32"/>
          <w:szCs w:val="32"/>
        </w:rPr>
      </w:pPr>
      <w:r>
        <w:rPr>
          <w:rFonts w:eastAsia="仿宋_GB2312" w:hint="eastAsia"/>
          <w:color w:val="000000"/>
          <w:sz w:val="32"/>
          <w:szCs w:val="32"/>
        </w:rPr>
        <w:t>【</w:t>
      </w:r>
      <w:r>
        <w:rPr>
          <w:rFonts w:eastAsia="仿宋_GB2312"/>
          <w:color w:val="000000"/>
          <w:sz w:val="32"/>
          <w:szCs w:val="32"/>
        </w:rPr>
        <w:t>禁忌</w:t>
      </w:r>
      <w:r>
        <w:rPr>
          <w:rFonts w:eastAsia="仿宋_GB2312" w:hint="eastAsia"/>
          <w:color w:val="000000"/>
          <w:sz w:val="32"/>
          <w:szCs w:val="32"/>
        </w:rPr>
        <w:t>】</w:t>
      </w:r>
      <w:r>
        <w:rPr>
          <w:rFonts w:eastAsia="仿宋_GB2312"/>
          <w:color w:val="000000"/>
          <w:sz w:val="32"/>
          <w:szCs w:val="32"/>
        </w:rPr>
        <w:t>项应加入以下内容：</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本品禁用于已明确对本品及其它甾体激素过敏的患者。</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本品禁用于已明确对乙醇过敏的患者。</w:t>
      </w:r>
    </w:p>
    <w:p w:rsidR="00C729D3" w:rsidRDefault="00062D80" w:rsidP="00606AB5">
      <w:pPr>
        <w:pStyle w:val="a8"/>
        <w:numPr>
          <w:ilvl w:val="0"/>
          <w:numId w:val="2"/>
        </w:numPr>
        <w:spacing w:line="560" w:lineRule="exact"/>
        <w:ind w:firstLineChars="0"/>
        <w:rPr>
          <w:rFonts w:eastAsia="黑体"/>
          <w:sz w:val="32"/>
          <w:szCs w:val="32"/>
        </w:rPr>
      </w:pPr>
      <w:r>
        <w:rPr>
          <w:rFonts w:eastAsia="黑体"/>
          <w:sz w:val="32"/>
          <w:szCs w:val="32"/>
        </w:rPr>
        <w:lastRenderedPageBreak/>
        <w:t>注意事项</w:t>
      </w:r>
    </w:p>
    <w:p w:rsidR="00C729D3" w:rsidRDefault="00062D80" w:rsidP="00606AB5">
      <w:pPr>
        <w:pStyle w:val="a8"/>
        <w:spacing w:line="560" w:lineRule="exact"/>
        <w:ind w:firstLine="640"/>
        <w:rPr>
          <w:rFonts w:eastAsia="仿宋_GB2312"/>
          <w:color w:val="000000"/>
          <w:sz w:val="32"/>
          <w:szCs w:val="32"/>
        </w:rPr>
      </w:pPr>
      <w:r>
        <w:rPr>
          <w:rFonts w:eastAsia="仿宋_GB2312" w:hint="eastAsia"/>
          <w:color w:val="000000"/>
          <w:sz w:val="32"/>
          <w:szCs w:val="32"/>
        </w:rPr>
        <w:t>【</w:t>
      </w:r>
      <w:r>
        <w:rPr>
          <w:rFonts w:eastAsia="仿宋_GB2312"/>
          <w:color w:val="000000"/>
          <w:sz w:val="32"/>
          <w:szCs w:val="32"/>
        </w:rPr>
        <w:t>注意事项</w:t>
      </w:r>
      <w:r>
        <w:rPr>
          <w:rFonts w:eastAsia="仿宋_GB2312" w:hint="eastAsia"/>
          <w:color w:val="000000"/>
          <w:sz w:val="32"/>
          <w:szCs w:val="32"/>
        </w:rPr>
        <w:t>】</w:t>
      </w:r>
      <w:r>
        <w:rPr>
          <w:rFonts w:eastAsia="仿宋_GB2312"/>
          <w:color w:val="000000"/>
          <w:sz w:val="32"/>
          <w:szCs w:val="32"/>
        </w:rPr>
        <w:t>项应加入以下内容：</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用药前应仔细阅读药品说明书，并仔细询问患者情况、用药史和既往过敏史。</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因本品中含有</w:t>
      </w:r>
      <w:r>
        <w:rPr>
          <w:rFonts w:eastAsia="仿宋_GB2312"/>
          <w:color w:val="000000"/>
          <w:sz w:val="32"/>
          <w:szCs w:val="32"/>
        </w:rPr>
        <w:t>50%</w:t>
      </w:r>
      <w:r>
        <w:rPr>
          <w:rFonts w:eastAsia="仿宋_GB2312"/>
          <w:color w:val="000000"/>
          <w:sz w:val="32"/>
          <w:szCs w:val="32"/>
        </w:rPr>
        <w:t>乙醇，故必须充分稀释至</w:t>
      </w:r>
      <w:r>
        <w:rPr>
          <w:rFonts w:eastAsia="仿宋_GB2312"/>
          <w:color w:val="000000"/>
          <w:sz w:val="32"/>
          <w:szCs w:val="32"/>
        </w:rPr>
        <w:t>0.2mg/ml</w:t>
      </w:r>
      <w:r>
        <w:rPr>
          <w:rFonts w:eastAsia="仿宋_GB2312"/>
          <w:color w:val="000000"/>
          <w:sz w:val="32"/>
          <w:szCs w:val="32"/>
        </w:rPr>
        <w:t>后供静脉滴注，需用大剂量时应改用不含乙醇的氢化可的松琥珀酸钠。</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本品作为糖皮质激素药物，具有抗炎、抗过敏和抑制免疫等多种药理作用。但据上市后监测数据和报道，本品会诱发潮红、皮疹、心悸、胸闷、恶心、呕吐、瘙痒、呼吸困难、头晕、过敏反应、过敏样反应等不良反应。已明确对本品及其它甾体激素过敏者禁用本品（参见</w:t>
      </w:r>
      <w:r>
        <w:rPr>
          <w:rFonts w:eastAsia="仿宋_GB2312" w:hint="eastAsia"/>
          <w:color w:val="000000"/>
          <w:sz w:val="32"/>
          <w:szCs w:val="32"/>
        </w:rPr>
        <w:t>【</w:t>
      </w:r>
      <w:r>
        <w:rPr>
          <w:rFonts w:eastAsia="仿宋_GB2312"/>
          <w:color w:val="000000"/>
          <w:sz w:val="32"/>
          <w:szCs w:val="32"/>
        </w:rPr>
        <w:t>禁忌</w:t>
      </w:r>
      <w:r>
        <w:rPr>
          <w:rFonts w:eastAsia="仿宋_GB2312" w:hint="eastAsia"/>
          <w:color w:val="000000"/>
          <w:sz w:val="32"/>
          <w:szCs w:val="32"/>
        </w:rPr>
        <w:t>】</w:t>
      </w:r>
      <w:r>
        <w:rPr>
          <w:rFonts w:eastAsia="仿宋_GB2312"/>
          <w:color w:val="000000"/>
          <w:sz w:val="32"/>
          <w:szCs w:val="32"/>
        </w:rPr>
        <w:t>）。</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对使用本品治疗过敏性疾病的患者，应加强监测。若症状恶化或出现新的过敏症状，应立即停药，必要时采取恰当的干预措施。</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4.</w:t>
      </w:r>
      <w:r>
        <w:rPr>
          <w:rFonts w:eastAsia="仿宋_GB2312"/>
          <w:color w:val="000000"/>
          <w:sz w:val="32"/>
          <w:szCs w:val="32"/>
        </w:rPr>
        <w:t>本品辅料中包含乙醇，据报道，对乙醇过敏的患者在使用本品治疗过敏性疾病时曾发生严重的变态反应。已明确对乙醇过敏患者禁用本品（参见</w:t>
      </w:r>
      <w:r>
        <w:rPr>
          <w:rFonts w:eastAsia="仿宋_GB2312" w:hint="eastAsia"/>
          <w:color w:val="000000"/>
          <w:sz w:val="32"/>
          <w:szCs w:val="32"/>
        </w:rPr>
        <w:t>【</w:t>
      </w:r>
      <w:r>
        <w:rPr>
          <w:rFonts w:eastAsia="仿宋_GB2312"/>
          <w:color w:val="000000"/>
          <w:sz w:val="32"/>
          <w:szCs w:val="32"/>
        </w:rPr>
        <w:t>禁忌</w:t>
      </w:r>
      <w:r>
        <w:rPr>
          <w:rFonts w:eastAsia="仿宋_GB2312" w:hint="eastAsia"/>
          <w:color w:val="000000"/>
          <w:sz w:val="32"/>
          <w:szCs w:val="32"/>
        </w:rPr>
        <w:t>】</w:t>
      </w:r>
      <w:r>
        <w:rPr>
          <w:rFonts w:eastAsia="仿宋_GB2312"/>
          <w:color w:val="000000"/>
          <w:sz w:val="32"/>
          <w:szCs w:val="32"/>
        </w:rPr>
        <w:t>），有中枢神经系统抑制或肝功能不全者应慎用本品。</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5.</w:t>
      </w:r>
      <w:r>
        <w:rPr>
          <w:rFonts w:eastAsia="仿宋_GB2312"/>
          <w:color w:val="000000"/>
          <w:sz w:val="32"/>
          <w:szCs w:val="32"/>
        </w:rPr>
        <w:t>本品辅料中包含乙醇，据报道，与硝基咪唑类药物如甲硝唑、具有甲硫四氮唑侧链结构的药物如头孢哌酮、具有甲硫三嗪侧链结构的药物如头孢曲松等抑制乙醛脱氢酶活性的药物联用会引起双硫仑样反应，如潮红、皮疹、胸闷、气短、恶心、呕吐、</w:t>
      </w:r>
      <w:r>
        <w:rPr>
          <w:rFonts w:eastAsia="仿宋_GB2312"/>
          <w:color w:val="000000"/>
          <w:sz w:val="32"/>
          <w:szCs w:val="32"/>
        </w:rPr>
        <w:lastRenderedPageBreak/>
        <w:t>呼吸困难、血压下降等。应避免本品与抑制乙醛脱氢酶活性的药物联用。</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用药后不得驾驶机、车、船、从事高空作业、机械作业及操作精密仪器。</w:t>
      </w:r>
    </w:p>
    <w:p w:rsidR="00C729D3" w:rsidRDefault="00062D80" w:rsidP="00606AB5">
      <w:pPr>
        <w:pStyle w:val="a8"/>
        <w:numPr>
          <w:ilvl w:val="0"/>
          <w:numId w:val="2"/>
        </w:numPr>
        <w:spacing w:line="560" w:lineRule="exact"/>
        <w:ind w:firstLineChars="0"/>
        <w:rPr>
          <w:rFonts w:eastAsia="黑体"/>
          <w:sz w:val="32"/>
          <w:szCs w:val="32"/>
        </w:rPr>
      </w:pPr>
      <w:r>
        <w:rPr>
          <w:rFonts w:eastAsia="黑体"/>
          <w:sz w:val="32"/>
          <w:szCs w:val="32"/>
        </w:rPr>
        <w:t>药物相互作用</w:t>
      </w:r>
    </w:p>
    <w:p w:rsidR="00C729D3" w:rsidRDefault="00062D80" w:rsidP="00606AB5">
      <w:pPr>
        <w:pStyle w:val="a8"/>
        <w:spacing w:line="560" w:lineRule="exact"/>
        <w:ind w:firstLine="640"/>
        <w:rPr>
          <w:rFonts w:eastAsia="仿宋_GB2312"/>
          <w:color w:val="000000"/>
          <w:sz w:val="32"/>
          <w:szCs w:val="32"/>
        </w:rPr>
      </w:pPr>
      <w:r>
        <w:rPr>
          <w:rFonts w:eastAsia="仿宋_GB2312" w:hint="eastAsia"/>
          <w:color w:val="000000"/>
          <w:sz w:val="32"/>
          <w:szCs w:val="32"/>
        </w:rPr>
        <w:t>【</w:t>
      </w:r>
      <w:r>
        <w:rPr>
          <w:rFonts w:eastAsia="仿宋_GB2312"/>
          <w:color w:val="000000"/>
          <w:sz w:val="32"/>
          <w:szCs w:val="32"/>
        </w:rPr>
        <w:t>药物相互作用</w:t>
      </w:r>
      <w:r>
        <w:rPr>
          <w:rFonts w:eastAsia="仿宋_GB2312" w:hint="eastAsia"/>
          <w:color w:val="000000"/>
          <w:sz w:val="32"/>
          <w:szCs w:val="32"/>
        </w:rPr>
        <w:t>】</w:t>
      </w:r>
      <w:r>
        <w:rPr>
          <w:rFonts w:eastAsia="仿宋_GB2312"/>
          <w:color w:val="000000"/>
          <w:sz w:val="32"/>
          <w:szCs w:val="32"/>
        </w:rPr>
        <w:t>项应加入以下内容：</w:t>
      </w:r>
    </w:p>
    <w:p w:rsidR="00C729D3" w:rsidRDefault="00062D80" w:rsidP="00606AB5">
      <w:pPr>
        <w:pStyle w:val="a8"/>
        <w:spacing w:line="560" w:lineRule="exact"/>
        <w:ind w:firstLine="640"/>
        <w:rPr>
          <w:rFonts w:eastAsia="仿宋_GB2312"/>
          <w:color w:val="000000"/>
          <w:sz w:val="32"/>
          <w:szCs w:val="32"/>
        </w:rPr>
      </w:pPr>
      <w:r>
        <w:rPr>
          <w:rFonts w:eastAsia="仿宋_GB2312"/>
          <w:color w:val="000000"/>
          <w:sz w:val="32"/>
          <w:szCs w:val="32"/>
        </w:rPr>
        <w:t>本品辅料中包含乙醇，据报道，与硝基咪唑类药物如甲硝唑、具有甲硫四氮唑侧链结构的药物如头孢哌酮、具有甲硫三嗪侧链结构的药物如头孢曲松等抑制乙醛脱氢酶活性的药物联用会引起双硫仑样反应，如潮红、皮疹、胸闷、气短、恶心、呕吐、呼吸困难、血压下降等。应避免本品与抑制乙醛脱氢酶活性的药物联用。</w:t>
      </w:r>
    </w:p>
    <w:p w:rsidR="00C729D3" w:rsidRDefault="00062D80" w:rsidP="00606AB5">
      <w:pPr>
        <w:pStyle w:val="a8"/>
        <w:spacing w:line="560" w:lineRule="exact"/>
        <w:ind w:firstLine="640"/>
        <w:rPr>
          <w:rFonts w:eastAsia="仿宋"/>
          <w:sz w:val="32"/>
          <w:szCs w:val="32"/>
        </w:rPr>
      </w:pPr>
      <w:r>
        <w:rPr>
          <w:rFonts w:eastAsia="楷体_GB2312"/>
          <w:color w:val="000000"/>
          <w:sz w:val="32"/>
          <w:szCs w:val="32"/>
        </w:rPr>
        <w:t>（注：说明书其他内容如与上述修订要求不一致的，应当一并进行修订。）</w:t>
      </w:r>
    </w:p>
    <w:p w:rsidR="00C729D3" w:rsidRDefault="00C729D3" w:rsidP="00606AB5">
      <w:pPr>
        <w:pStyle w:val="a8"/>
        <w:spacing w:line="560" w:lineRule="exact"/>
        <w:ind w:firstLineChars="0" w:firstLine="0"/>
        <w:jc w:val="left"/>
        <w:rPr>
          <w:rFonts w:eastAsia="仿宋_GB2312"/>
          <w:sz w:val="28"/>
          <w:szCs w:val="28"/>
        </w:rPr>
      </w:pPr>
    </w:p>
    <w:sectPr w:rsidR="00C729D3">
      <w:footerReference w:type="even" r:id="rId9"/>
      <w:footerReference w:type="default" r:id="rId10"/>
      <w:pgSz w:w="11906" w:h="16838"/>
      <w:pgMar w:top="1928" w:right="1531" w:bottom="1814" w:left="1531" w:header="851" w:footer="1134"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025" w:rsidRDefault="00062D80">
      <w:r>
        <w:separator/>
      </w:r>
    </w:p>
  </w:endnote>
  <w:endnote w:type="continuationSeparator" w:id="0">
    <w:p w:rsidR="00E34025" w:rsidRDefault="00062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9D3" w:rsidRDefault="00606AB5">
    <w:pPr>
      <w:pStyle w:val="a5"/>
    </w:pPr>
    <w:r>
      <w:pict>
        <v:shapetype id="_x0000_t202" coordsize="21600,21600" o:spt="202" path="m,l,21600r21600,l21600,xe">
          <v:stroke joinstyle="miter"/>
          <v:path gradientshapeok="t" o:connecttype="rect"/>
        </v:shapetype>
        <v:shape id="_x0000_s2061" type="#_x0000_t202" style="position:absolute;margin-left:0;margin-top:-24.2pt;width:2in;height:2in;z-index:251663360;mso-wrap-style:none;mso-position-horizontal-relative:margin;mso-width-relative:page;mso-height-relative:page" filled="f" stroked="f">
          <v:textbox style="mso-fit-shape-to-text:t" inset="0,0,0,0">
            <w:txbxContent>
              <w:p w:rsidR="00C729D3" w:rsidRDefault="00062D80">
                <w:pPr>
                  <w:pStyle w:val="a5"/>
                </w:pPr>
                <w:r w:rsidRPr="00606AB5">
                  <w:rPr>
                    <w:rFonts w:hint="eastAsia"/>
                    <w:color w:val="FFFFFF"/>
                    <w:sz w:val="28"/>
                    <w:szCs w:val="28"/>
                  </w:rPr>
                  <w:t>—</w:t>
                </w:r>
                <w:r w:rsidRPr="00606AB5">
                  <w:rPr>
                    <w:rFonts w:hint="eastAsia"/>
                    <w:sz w:val="28"/>
                    <w:szCs w:val="28"/>
                  </w:rPr>
                  <w:t>—</w:t>
                </w:r>
                <w:r w:rsidRPr="00606AB5">
                  <w:rPr>
                    <w:sz w:val="28"/>
                    <w:szCs w:val="28"/>
                  </w:rPr>
                  <w:t xml:space="preserve"> </w:t>
                </w:r>
                <w:r w:rsidRPr="00606AB5">
                  <w:rPr>
                    <w:rFonts w:hint="eastAsia"/>
                    <w:sz w:val="28"/>
                    <w:szCs w:val="28"/>
                  </w:rPr>
                  <w:fldChar w:fldCharType="begin"/>
                </w:r>
                <w:r w:rsidRPr="00606AB5">
                  <w:rPr>
                    <w:sz w:val="28"/>
                    <w:szCs w:val="28"/>
                  </w:rPr>
                  <w:instrText xml:space="preserve"> PAGE  \* MERGEFORMAT </w:instrText>
                </w:r>
                <w:r w:rsidRPr="00606AB5">
                  <w:rPr>
                    <w:rFonts w:hint="eastAsia"/>
                    <w:sz w:val="28"/>
                    <w:szCs w:val="28"/>
                  </w:rPr>
                  <w:fldChar w:fldCharType="separate"/>
                </w:r>
                <w:r w:rsidR="00606AB5">
                  <w:rPr>
                    <w:noProof/>
                    <w:sz w:val="28"/>
                    <w:szCs w:val="28"/>
                  </w:rPr>
                  <w:t>2</w:t>
                </w:r>
                <w:r w:rsidRPr="00606AB5">
                  <w:rPr>
                    <w:rFonts w:hint="eastAsia"/>
                    <w:sz w:val="28"/>
                    <w:szCs w:val="28"/>
                  </w:rPr>
                  <w:fldChar w:fldCharType="end"/>
                </w:r>
                <w:r w:rsidRPr="00606AB5">
                  <w:rPr>
                    <w:sz w:val="28"/>
                    <w:szCs w:val="28"/>
                  </w:rPr>
                  <w:t xml:space="preserve"> </w:t>
                </w:r>
                <w:r w:rsidRPr="00606AB5">
                  <w:rPr>
                    <w:rFonts w:hint="eastAsia"/>
                    <w:sz w:val="28"/>
                    <w:szCs w:val="28"/>
                  </w:rPr>
                  <w:t>—</w:t>
                </w:r>
                <w:r w:rsidRPr="00606AB5">
                  <w:rPr>
                    <w:rFonts w:hint="eastAsia"/>
                    <w:color w:val="FFFFFF"/>
                    <w:sz w:val="28"/>
                    <w:szCs w:val="28"/>
                  </w:rPr>
                  <w:t>—</w:t>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9D3" w:rsidRDefault="00606AB5">
    <w:pPr>
      <w:pStyle w:val="a5"/>
    </w:pPr>
    <w:r>
      <w:pict>
        <v:shapetype id="_x0000_t202" coordsize="21600,21600" o:spt="202" path="m,l,21600r21600,l21600,xe">
          <v:stroke joinstyle="miter"/>
          <v:path gradientshapeok="t" o:connecttype="rect"/>
        </v:shapetype>
        <v:shape id="_x0000_s2062" type="#_x0000_t202" style="position:absolute;margin-left:365.2pt;margin-top:-23.3pt;width:2in;height:2in;z-index:251660288;mso-wrap-style:none;mso-position-horizontal-relative:margin;mso-width-relative:page;mso-height-relative:page" filled="f" stroked="f">
          <v:textbox style="mso-fit-shape-to-text:t" inset="0,0,0,0">
            <w:txbxContent>
              <w:p w:rsidR="00C729D3" w:rsidRDefault="00062D80">
                <w:pPr>
                  <w:pStyle w:val="a5"/>
                </w:pPr>
                <w:r w:rsidRPr="00606AB5">
                  <w:rPr>
                    <w:rFonts w:hint="eastAsia"/>
                    <w:color w:val="FFFFFF"/>
                    <w:sz w:val="28"/>
                    <w:szCs w:val="28"/>
                  </w:rPr>
                  <w:t>—</w:t>
                </w:r>
                <w:r w:rsidRPr="00606AB5">
                  <w:rPr>
                    <w:rFonts w:hint="eastAsia"/>
                    <w:sz w:val="28"/>
                    <w:szCs w:val="28"/>
                  </w:rPr>
                  <w:t>—</w:t>
                </w:r>
                <w:r w:rsidRPr="00606AB5">
                  <w:rPr>
                    <w:sz w:val="28"/>
                    <w:szCs w:val="28"/>
                  </w:rPr>
                  <w:t xml:space="preserve"> </w:t>
                </w:r>
                <w:r w:rsidRPr="00606AB5">
                  <w:rPr>
                    <w:rFonts w:hint="eastAsia"/>
                    <w:sz w:val="28"/>
                    <w:szCs w:val="28"/>
                  </w:rPr>
                  <w:fldChar w:fldCharType="begin"/>
                </w:r>
                <w:r w:rsidRPr="00606AB5">
                  <w:rPr>
                    <w:sz w:val="28"/>
                    <w:szCs w:val="28"/>
                  </w:rPr>
                  <w:instrText xml:space="preserve"> PAGE  \* MERGEFORMAT </w:instrText>
                </w:r>
                <w:r w:rsidRPr="00606AB5">
                  <w:rPr>
                    <w:rFonts w:hint="eastAsia"/>
                    <w:sz w:val="28"/>
                    <w:szCs w:val="28"/>
                  </w:rPr>
                  <w:fldChar w:fldCharType="separate"/>
                </w:r>
                <w:r w:rsidR="00606AB5">
                  <w:rPr>
                    <w:noProof/>
                    <w:sz w:val="28"/>
                    <w:szCs w:val="28"/>
                  </w:rPr>
                  <w:t>1</w:t>
                </w:r>
                <w:r w:rsidRPr="00606AB5">
                  <w:rPr>
                    <w:rFonts w:hint="eastAsia"/>
                    <w:sz w:val="28"/>
                    <w:szCs w:val="28"/>
                  </w:rPr>
                  <w:fldChar w:fldCharType="end"/>
                </w:r>
                <w:r w:rsidRPr="00606AB5">
                  <w:rPr>
                    <w:sz w:val="28"/>
                    <w:szCs w:val="28"/>
                  </w:rPr>
                  <w:t xml:space="preserve"> </w:t>
                </w:r>
                <w:r w:rsidRPr="00606AB5">
                  <w:rPr>
                    <w:rFonts w:hint="eastAsia"/>
                    <w:sz w:val="28"/>
                    <w:szCs w:val="28"/>
                  </w:rPr>
                  <w:t>—</w:t>
                </w:r>
                <w:r w:rsidRPr="00606AB5">
                  <w:rPr>
                    <w:rFonts w:hint="eastAsia"/>
                    <w:color w:val="FFFFFF"/>
                    <w:sz w:val="28"/>
                    <w:szCs w:val="28"/>
                  </w:rPr>
                  <w:t>—</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025" w:rsidRDefault="00062D80">
      <w:r>
        <w:separator/>
      </w:r>
    </w:p>
  </w:footnote>
  <w:footnote w:type="continuationSeparator" w:id="0">
    <w:p w:rsidR="00E34025" w:rsidRDefault="00062D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03801E"/>
    <w:multiLevelType w:val="multilevel"/>
    <w:tmpl w:val="B403801E"/>
    <w:lvl w:ilvl="0">
      <w:start w:val="1"/>
      <w:numFmt w:val="japaneseCounting"/>
      <w:suff w:val="nothing"/>
      <w:lvlText w:val="%1、"/>
      <w:lvlJc w:val="left"/>
      <w:pPr>
        <w:tabs>
          <w:tab w:val="left" w:pos="0"/>
        </w:tabs>
        <w:ind w:left="1360" w:hanging="720"/>
      </w:pPr>
      <w:rPr>
        <w:rFonts w:hint="eastAsia"/>
      </w:rPr>
    </w:lvl>
    <w:lvl w:ilvl="1">
      <w:start w:val="1"/>
      <w:numFmt w:val="lowerLetter"/>
      <w:lvlText w:val="%2)"/>
      <w:lvlJc w:val="left"/>
      <w:pPr>
        <w:ind w:left="1480" w:hanging="420"/>
      </w:pPr>
      <w:rPr>
        <w:rFonts w:hint="eastAsia"/>
      </w:rPr>
    </w:lvl>
    <w:lvl w:ilvl="2">
      <w:start w:val="1"/>
      <w:numFmt w:val="lowerRoman"/>
      <w:lvlText w:val="%3."/>
      <w:lvlJc w:val="right"/>
      <w:pPr>
        <w:ind w:left="1900" w:hanging="420"/>
      </w:pPr>
      <w:rPr>
        <w:rFonts w:hint="eastAsia"/>
      </w:rPr>
    </w:lvl>
    <w:lvl w:ilvl="3">
      <w:start w:val="1"/>
      <w:numFmt w:val="decimal"/>
      <w:lvlText w:val="%4."/>
      <w:lvlJc w:val="left"/>
      <w:pPr>
        <w:ind w:left="2320" w:hanging="420"/>
      </w:pPr>
      <w:rPr>
        <w:rFonts w:hint="eastAsia"/>
      </w:rPr>
    </w:lvl>
    <w:lvl w:ilvl="4">
      <w:start w:val="1"/>
      <w:numFmt w:val="lowerLetter"/>
      <w:lvlText w:val="%5)"/>
      <w:lvlJc w:val="left"/>
      <w:pPr>
        <w:ind w:left="2740" w:hanging="420"/>
      </w:pPr>
      <w:rPr>
        <w:rFonts w:hint="eastAsia"/>
      </w:rPr>
    </w:lvl>
    <w:lvl w:ilvl="5">
      <w:start w:val="1"/>
      <w:numFmt w:val="lowerRoman"/>
      <w:lvlText w:val="%6."/>
      <w:lvlJc w:val="right"/>
      <w:pPr>
        <w:ind w:left="3160" w:hanging="420"/>
      </w:pPr>
      <w:rPr>
        <w:rFonts w:hint="eastAsia"/>
      </w:rPr>
    </w:lvl>
    <w:lvl w:ilvl="6">
      <w:start w:val="1"/>
      <w:numFmt w:val="decimal"/>
      <w:lvlText w:val="%7."/>
      <w:lvlJc w:val="left"/>
      <w:pPr>
        <w:ind w:left="3580" w:hanging="420"/>
      </w:pPr>
      <w:rPr>
        <w:rFonts w:hint="eastAsia"/>
      </w:rPr>
    </w:lvl>
    <w:lvl w:ilvl="7">
      <w:start w:val="1"/>
      <w:numFmt w:val="lowerLetter"/>
      <w:lvlText w:val="%8)"/>
      <w:lvlJc w:val="left"/>
      <w:pPr>
        <w:ind w:left="4000" w:hanging="420"/>
      </w:pPr>
      <w:rPr>
        <w:rFonts w:hint="eastAsia"/>
      </w:rPr>
    </w:lvl>
    <w:lvl w:ilvl="8">
      <w:start w:val="1"/>
      <w:numFmt w:val="lowerRoman"/>
      <w:lvlText w:val="%9."/>
      <w:lvlJc w:val="right"/>
      <w:pPr>
        <w:ind w:left="4420" w:hanging="420"/>
      </w:pPr>
      <w:rPr>
        <w:rFonts w:hint="eastAsia"/>
      </w:rPr>
    </w:lvl>
  </w:abstractNum>
  <w:abstractNum w:abstractNumId="1">
    <w:nsid w:val="21D52C37"/>
    <w:multiLevelType w:val="multilevel"/>
    <w:tmpl w:val="21D52C37"/>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nsid w:val="34D9BBD5"/>
    <w:multiLevelType w:val="multilevel"/>
    <w:tmpl w:val="34D9BBD5"/>
    <w:lvl w:ilvl="0">
      <w:start w:val="1"/>
      <w:numFmt w:val="japaneseCounting"/>
      <w:suff w:val="nothing"/>
      <w:lvlText w:val="%1、"/>
      <w:lvlJc w:val="left"/>
      <w:pPr>
        <w:tabs>
          <w:tab w:val="left" w:pos="0"/>
        </w:tabs>
        <w:ind w:left="1360" w:hanging="720"/>
      </w:pPr>
      <w:rPr>
        <w:rFonts w:hint="eastAsia"/>
      </w:rPr>
    </w:lvl>
    <w:lvl w:ilvl="1">
      <w:start w:val="1"/>
      <w:numFmt w:val="lowerLetter"/>
      <w:lvlText w:val="%2)"/>
      <w:lvlJc w:val="left"/>
      <w:pPr>
        <w:ind w:left="1480" w:hanging="420"/>
      </w:pPr>
      <w:rPr>
        <w:rFonts w:hint="eastAsia"/>
      </w:rPr>
    </w:lvl>
    <w:lvl w:ilvl="2">
      <w:start w:val="1"/>
      <w:numFmt w:val="lowerRoman"/>
      <w:lvlText w:val="%3."/>
      <w:lvlJc w:val="right"/>
      <w:pPr>
        <w:ind w:left="1900" w:hanging="420"/>
      </w:pPr>
      <w:rPr>
        <w:rFonts w:hint="eastAsia"/>
      </w:rPr>
    </w:lvl>
    <w:lvl w:ilvl="3">
      <w:start w:val="1"/>
      <w:numFmt w:val="decimal"/>
      <w:lvlText w:val="%4."/>
      <w:lvlJc w:val="left"/>
      <w:pPr>
        <w:ind w:left="2320" w:hanging="420"/>
      </w:pPr>
      <w:rPr>
        <w:rFonts w:hint="eastAsia"/>
      </w:rPr>
    </w:lvl>
    <w:lvl w:ilvl="4">
      <w:start w:val="1"/>
      <w:numFmt w:val="lowerLetter"/>
      <w:lvlText w:val="%5)"/>
      <w:lvlJc w:val="left"/>
      <w:pPr>
        <w:ind w:left="2740" w:hanging="420"/>
      </w:pPr>
      <w:rPr>
        <w:rFonts w:hint="eastAsia"/>
      </w:rPr>
    </w:lvl>
    <w:lvl w:ilvl="5">
      <w:start w:val="1"/>
      <w:numFmt w:val="lowerRoman"/>
      <w:lvlText w:val="%6."/>
      <w:lvlJc w:val="right"/>
      <w:pPr>
        <w:ind w:left="3160" w:hanging="420"/>
      </w:pPr>
      <w:rPr>
        <w:rFonts w:hint="eastAsia"/>
      </w:rPr>
    </w:lvl>
    <w:lvl w:ilvl="6">
      <w:start w:val="1"/>
      <w:numFmt w:val="decimal"/>
      <w:lvlText w:val="%7."/>
      <w:lvlJc w:val="left"/>
      <w:pPr>
        <w:ind w:left="3580" w:hanging="420"/>
      </w:pPr>
      <w:rPr>
        <w:rFonts w:hint="eastAsia"/>
      </w:rPr>
    </w:lvl>
    <w:lvl w:ilvl="7">
      <w:start w:val="1"/>
      <w:numFmt w:val="lowerLetter"/>
      <w:lvlText w:val="%8)"/>
      <w:lvlJc w:val="left"/>
      <w:pPr>
        <w:ind w:left="4000" w:hanging="420"/>
      </w:pPr>
      <w:rPr>
        <w:rFonts w:hint="eastAsia"/>
      </w:rPr>
    </w:lvl>
    <w:lvl w:ilvl="8">
      <w:start w:val="1"/>
      <w:numFmt w:val="lowerRoman"/>
      <w:lvlText w:val="%9."/>
      <w:lvlJc w:val="right"/>
      <w:pPr>
        <w:ind w:left="4420" w:hanging="420"/>
      </w:pPr>
      <w:rPr>
        <w:rFonts w:hint="eastAsia"/>
      </w:rPr>
    </w:lvl>
  </w:abstractNum>
  <w:abstractNum w:abstractNumId="3">
    <w:nsid w:val="7BF404EB"/>
    <w:multiLevelType w:val="multilevel"/>
    <w:tmpl w:val="7BF404EB"/>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69"/>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60C8"/>
    <w:rsid w:val="9F7F735B"/>
    <w:rsid w:val="DEFBF041"/>
    <w:rsid w:val="DFD714F7"/>
    <w:rsid w:val="E5FFBD8B"/>
    <w:rsid w:val="FFBC5E8F"/>
    <w:rsid w:val="FFBE6CEA"/>
    <w:rsid w:val="FFFD257D"/>
    <w:rsid w:val="00016D27"/>
    <w:rsid w:val="00016E93"/>
    <w:rsid w:val="00051450"/>
    <w:rsid w:val="00062D80"/>
    <w:rsid w:val="00071507"/>
    <w:rsid w:val="000A2989"/>
    <w:rsid w:val="000E0170"/>
    <w:rsid w:val="00101F08"/>
    <w:rsid w:val="00157D65"/>
    <w:rsid w:val="00164368"/>
    <w:rsid w:val="00186786"/>
    <w:rsid w:val="001B61C4"/>
    <w:rsid w:val="001C492C"/>
    <w:rsid w:val="001D3923"/>
    <w:rsid w:val="001D7B00"/>
    <w:rsid w:val="001F3FB0"/>
    <w:rsid w:val="00204B69"/>
    <w:rsid w:val="00247F9A"/>
    <w:rsid w:val="00277D15"/>
    <w:rsid w:val="002A510C"/>
    <w:rsid w:val="002A7F53"/>
    <w:rsid w:val="002F2CC3"/>
    <w:rsid w:val="00323910"/>
    <w:rsid w:val="003330A7"/>
    <w:rsid w:val="0035031B"/>
    <w:rsid w:val="00351116"/>
    <w:rsid w:val="00352FFE"/>
    <w:rsid w:val="0036326B"/>
    <w:rsid w:val="003B39B2"/>
    <w:rsid w:val="003B452F"/>
    <w:rsid w:val="003C4A36"/>
    <w:rsid w:val="003D08E2"/>
    <w:rsid w:val="003D78E8"/>
    <w:rsid w:val="003E7CB8"/>
    <w:rsid w:val="00405AE4"/>
    <w:rsid w:val="004218DC"/>
    <w:rsid w:val="00453B18"/>
    <w:rsid w:val="004A48F4"/>
    <w:rsid w:val="004A5C4E"/>
    <w:rsid w:val="004D7576"/>
    <w:rsid w:val="004F27D3"/>
    <w:rsid w:val="0050179C"/>
    <w:rsid w:val="005410CE"/>
    <w:rsid w:val="005455A8"/>
    <w:rsid w:val="0056324D"/>
    <w:rsid w:val="00564625"/>
    <w:rsid w:val="0056661D"/>
    <w:rsid w:val="00593C49"/>
    <w:rsid w:val="005B2A3E"/>
    <w:rsid w:val="005B404F"/>
    <w:rsid w:val="005D20CB"/>
    <w:rsid w:val="005D7D24"/>
    <w:rsid w:val="005E7595"/>
    <w:rsid w:val="005F4ADA"/>
    <w:rsid w:val="006052CA"/>
    <w:rsid w:val="00606AB5"/>
    <w:rsid w:val="00612531"/>
    <w:rsid w:val="006428CA"/>
    <w:rsid w:val="0067038A"/>
    <w:rsid w:val="00673EAB"/>
    <w:rsid w:val="00690209"/>
    <w:rsid w:val="006D3D5E"/>
    <w:rsid w:val="006E0E17"/>
    <w:rsid w:val="00727597"/>
    <w:rsid w:val="00735046"/>
    <w:rsid w:val="00766F07"/>
    <w:rsid w:val="007B409A"/>
    <w:rsid w:val="007C72C1"/>
    <w:rsid w:val="007E3EB2"/>
    <w:rsid w:val="007F6C62"/>
    <w:rsid w:val="00802B33"/>
    <w:rsid w:val="008044C1"/>
    <w:rsid w:val="0080591C"/>
    <w:rsid w:val="008300E3"/>
    <w:rsid w:val="008377A6"/>
    <w:rsid w:val="00837FBB"/>
    <w:rsid w:val="00840DEF"/>
    <w:rsid w:val="00845649"/>
    <w:rsid w:val="008457F1"/>
    <w:rsid w:val="00863C35"/>
    <w:rsid w:val="008C461A"/>
    <w:rsid w:val="008C5ECE"/>
    <w:rsid w:val="008C74C4"/>
    <w:rsid w:val="00926229"/>
    <w:rsid w:val="00944679"/>
    <w:rsid w:val="0094647A"/>
    <w:rsid w:val="0097437D"/>
    <w:rsid w:val="009869EE"/>
    <w:rsid w:val="00991BF3"/>
    <w:rsid w:val="009A1829"/>
    <w:rsid w:val="009A2DB4"/>
    <w:rsid w:val="009D7C65"/>
    <w:rsid w:val="009F63A3"/>
    <w:rsid w:val="00A03AD8"/>
    <w:rsid w:val="00A24E9C"/>
    <w:rsid w:val="00A254E3"/>
    <w:rsid w:val="00A351E7"/>
    <w:rsid w:val="00A62362"/>
    <w:rsid w:val="00A639CD"/>
    <w:rsid w:val="00A646C6"/>
    <w:rsid w:val="00A65BFC"/>
    <w:rsid w:val="00A8280B"/>
    <w:rsid w:val="00A82CA2"/>
    <w:rsid w:val="00AA30FC"/>
    <w:rsid w:val="00AC2D33"/>
    <w:rsid w:val="00B11072"/>
    <w:rsid w:val="00B16FFF"/>
    <w:rsid w:val="00B25838"/>
    <w:rsid w:val="00B64617"/>
    <w:rsid w:val="00B84EF7"/>
    <w:rsid w:val="00BA00D5"/>
    <w:rsid w:val="00BA1FC7"/>
    <w:rsid w:val="00BE16F8"/>
    <w:rsid w:val="00C05E89"/>
    <w:rsid w:val="00C1570A"/>
    <w:rsid w:val="00C51B28"/>
    <w:rsid w:val="00C57201"/>
    <w:rsid w:val="00C578A0"/>
    <w:rsid w:val="00C60442"/>
    <w:rsid w:val="00C729D3"/>
    <w:rsid w:val="00C73515"/>
    <w:rsid w:val="00C92BC0"/>
    <w:rsid w:val="00CA2B21"/>
    <w:rsid w:val="00CC6505"/>
    <w:rsid w:val="00CD27CB"/>
    <w:rsid w:val="00CE7A0B"/>
    <w:rsid w:val="00D03FFD"/>
    <w:rsid w:val="00D53A64"/>
    <w:rsid w:val="00D61B72"/>
    <w:rsid w:val="00DD4D3D"/>
    <w:rsid w:val="00DD5C43"/>
    <w:rsid w:val="00DF1936"/>
    <w:rsid w:val="00E05A99"/>
    <w:rsid w:val="00E21EF7"/>
    <w:rsid w:val="00E34025"/>
    <w:rsid w:val="00E41212"/>
    <w:rsid w:val="00E41A1A"/>
    <w:rsid w:val="00E73776"/>
    <w:rsid w:val="00ED2031"/>
    <w:rsid w:val="00F64776"/>
    <w:rsid w:val="00F6624B"/>
    <w:rsid w:val="00F8685B"/>
    <w:rsid w:val="00FA60C8"/>
    <w:rsid w:val="00FD22E5"/>
    <w:rsid w:val="00FD443E"/>
    <w:rsid w:val="00FD754D"/>
    <w:rsid w:val="072D2C23"/>
    <w:rsid w:val="0BEC7EA0"/>
    <w:rsid w:val="0D6E06A6"/>
    <w:rsid w:val="13E82B68"/>
    <w:rsid w:val="175B72AA"/>
    <w:rsid w:val="186B7800"/>
    <w:rsid w:val="1DE77388"/>
    <w:rsid w:val="1F7368F8"/>
    <w:rsid w:val="21651C40"/>
    <w:rsid w:val="241828A4"/>
    <w:rsid w:val="262F7880"/>
    <w:rsid w:val="277FF422"/>
    <w:rsid w:val="27D67058"/>
    <w:rsid w:val="282402C2"/>
    <w:rsid w:val="2BD633AB"/>
    <w:rsid w:val="33A92722"/>
    <w:rsid w:val="34F41C00"/>
    <w:rsid w:val="39CA2A0B"/>
    <w:rsid w:val="3FD56B66"/>
    <w:rsid w:val="42852CDF"/>
    <w:rsid w:val="480200A2"/>
    <w:rsid w:val="48A85949"/>
    <w:rsid w:val="5046345A"/>
    <w:rsid w:val="53911B08"/>
    <w:rsid w:val="56BD6420"/>
    <w:rsid w:val="58EB0908"/>
    <w:rsid w:val="591D3208"/>
    <w:rsid w:val="5FF61E43"/>
    <w:rsid w:val="5FFFEA2C"/>
    <w:rsid w:val="61585A83"/>
    <w:rsid w:val="634A7E38"/>
    <w:rsid w:val="63E446CD"/>
    <w:rsid w:val="66B4281B"/>
    <w:rsid w:val="69C94BA0"/>
    <w:rsid w:val="6BBE55E1"/>
    <w:rsid w:val="6E080B97"/>
    <w:rsid w:val="6FF9A773"/>
    <w:rsid w:val="73BFE70F"/>
    <w:rsid w:val="7FE9E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styleId="a7">
    <w:name w:val="page number"/>
    <w:basedOn w:val="a0"/>
  </w:style>
  <w:style w:type="paragraph" w:styleId="a8">
    <w:name w:val="List Paragraph"/>
    <w:basedOn w:val="a"/>
    <w:uiPriority w:val="34"/>
    <w:qFormat/>
    <w:pPr>
      <w:ind w:firstLineChars="200" w:firstLine="420"/>
    </w:pPr>
  </w:style>
  <w:style w:type="character" w:customStyle="1" w:styleId="Char0">
    <w:name w:val="页眉 Char"/>
    <w:link w:val="a6"/>
    <w:uiPriority w:val="99"/>
    <w:rPr>
      <w:kern w:val="2"/>
      <w:sz w:val="18"/>
      <w:szCs w:val="18"/>
    </w:rPr>
  </w:style>
  <w:style w:type="character" w:customStyle="1" w:styleId="Char">
    <w:name w:val="页脚 Char"/>
    <w:link w:val="a5"/>
    <w:uiPriority w:val="9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8" textRotate="1"/>
    <customShpInfo spid="_x0000_s2057" textRotate="1"/>
    <customShpInfo spid="_x0000_s2060" textRotate="1"/>
    <customShpInfo spid="_x0000_s2059" textRotate="1"/>
    <customShpInfo spid="_x0000_s2062" textRotate="1"/>
    <customShpInfo spid="_x0000_s2061" textRotate="1"/>
    <customShpInfo spid="_x0000_s1058"/>
    <customShpInfo spid="_x0000_s1061"/>
    <customShpInfo spid="_x0000_s1059"/>
    <customShpInfo spid="_x0000_s106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170</Words>
  <Characters>974</Characters>
  <Application>Microsoft Office Word</Application>
  <DocSecurity>0</DocSecurity>
  <Lines>8</Lines>
  <Paragraphs>2</Paragraphs>
  <ScaleCrop>false</ScaleCrop>
  <Company>Xtzj.Com</Company>
  <LinksUpToDate>false</LinksUpToDate>
  <CharactersWithSpaces>1142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creator>Xtzj.User</dc:creator>
  <cp:lastModifiedBy>view01</cp:lastModifiedBy>
  <cp:revision>21</cp:revision>
  <cp:lastPrinted>2020-03-17T11:22:00Z</cp:lastPrinted>
  <dcterms:created xsi:type="dcterms:W3CDTF">2014-08-01T01:26:00Z</dcterms:created>
  <dcterms:modified xsi:type="dcterms:W3CDTF">2020-03-18T01:17:00Z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2052-10.1.0.7323</vt:lpwstr>
  </property>
</Properties>
</file>